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686" w:type="pct"/>
        <w:tblInd w:w="-714" w:type="dxa"/>
        <w:tblLook w:val="01E0" w:firstRow="1" w:lastRow="1" w:firstColumn="1" w:lastColumn="1" w:noHBand="0" w:noVBand="0"/>
      </w:tblPr>
      <w:tblGrid>
        <w:gridCol w:w="2414"/>
        <w:gridCol w:w="2639"/>
        <w:gridCol w:w="2658"/>
        <w:gridCol w:w="2922"/>
      </w:tblGrid>
      <w:tr w:rsidR="00E112F0" w:rsidRPr="004017E2" w14:paraId="0AD6D458" w14:textId="77777777" w:rsidTr="005B55E0">
        <w:tc>
          <w:tcPr>
            <w:tcW w:w="11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653DC" w14:textId="77777777" w:rsidR="00E112F0" w:rsidRPr="004017E2" w:rsidRDefault="00E112F0" w:rsidP="00F65C61">
            <w:pPr>
              <w:spacing w:after="120" w:line="254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Ministarstvo</w:t>
            </w:r>
          </w:p>
          <w:p w14:paraId="320C1FF3" w14:textId="77777777" w:rsidR="00E112F0" w:rsidRPr="004017E2" w:rsidRDefault="00E112F0" w:rsidP="00F65C61">
            <w:pPr>
              <w:spacing w:after="120" w:line="254" w:lineRule="auto"/>
              <w:ind w:firstLine="1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regionalnoga razvoja i fondova EU </w:t>
            </w:r>
          </w:p>
          <w:p w14:paraId="16327F07" w14:textId="52B4E9C2" w:rsidR="00E112F0" w:rsidRPr="004017E2" w:rsidRDefault="00E112F0" w:rsidP="004017E2">
            <w:pPr>
              <w:spacing w:after="120" w:line="254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(</w:t>
            </w:r>
            <w:r w:rsidR="004017E2"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UT)</w:t>
            </w:r>
          </w:p>
        </w:tc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FE98A" w14:textId="77777777" w:rsidR="00E112F0" w:rsidRPr="004017E2" w:rsidRDefault="00E112F0" w:rsidP="00F65C61">
            <w:pPr>
              <w:spacing w:after="120" w:line="254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PRAVILA 2014.-2020.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1D3C" w14:textId="77777777" w:rsidR="00E112F0" w:rsidRPr="004017E2" w:rsidRDefault="00E112F0" w:rsidP="00F65C61">
            <w:pPr>
              <w:spacing w:after="120" w:line="254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Pravilo br.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1794A" w14:textId="77777777" w:rsidR="00E112F0" w:rsidRPr="003A305C" w:rsidRDefault="00E112F0" w:rsidP="00F65C61">
            <w:pPr>
              <w:spacing w:after="120" w:line="254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3A305C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09</w:t>
            </w:r>
          </w:p>
        </w:tc>
      </w:tr>
      <w:tr w:rsidR="00E112F0" w:rsidRPr="004017E2" w14:paraId="255A44DF" w14:textId="77777777" w:rsidTr="005B55E0">
        <w:tc>
          <w:tcPr>
            <w:tcW w:w="1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9E1" w14:textId="77777777" w:rsidR="00E112F0" w:rsidRPr="004017E2" w:rsidRDefault="00E112F0" w:rsidP="00F65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</w:p>
        </w:tc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F897F" w14:textId="7733D81B" w:rsidR="00E112F0" w:rsidRPr="004017E2" w:rsidRDefault="00556008" w:rsidP="00F65C61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hu-HU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 w:eastAsia="hu-HU"/>
              </w:rPr>
              <w:t>Prilog 07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A913E" w14:textId="5952DD4B" w:rsidR="00E112F0" w:rsidRPr="004017E2" w:rsidRDefault="00E112F0" w:rsidP="00242500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Datum 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2FBFF" w14:textId="70E80DA2" w:rsidR="00E112F0" w:rsidRPr="003A305C" w:rsidRDefault="00BD5EB6" w:rsidP="00D520FC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Prosinac</w:t>
            </w:r>
            <w:r w:rsidR="0087299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</w:t>
            </w:r>
            <w:r w:rsidR="00927153" w:rsidRPr="003A305C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20</w:t>
            </w:r>
            <w:r w:rsidR="00D520FC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20</w:t>
            </w:r>
            <w:r w:rsidR="00927153" w:rsidRPr="003A305C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.</w:t>
            </w:r>
          </w:p>
        </w:tc>
      </w:tr>
      <w:tr w:rsidR="00E112F0" w:rsidRPr="004017E2" w14:paraId="34352237" w14:textId="77777777" w:rsidTr="005B55E0">
        <w:tc>
          <w:tcPr>
            <w:tcW w:w="1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0F3AF" w14:textId="77777777" w:rsidR="00E112F0" w:rsidRPr="004017E2" w:rsidRDefault="00E112F0" w:rsidP="00F65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13DCB" w14:textId="77777777" w:rsidR="00E112F0" w:rsidRPr="004017E2" w:rsidRDefault="00E112F0" w:rsidP="00F65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hu-HU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C5796" w14:textId="77777777" w:rsidR="00E112F0" w:rsidRPr="004017E2" w:rsidRDefault="00E112F0" w:rsidP="00F65C61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Verzija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8C9DD" w14:textId="124CCC12" w:rsidR="00E112F0" w:rsidRPr="003A305C" w:rsidRDefault="00F24398" w:rsidP="00B04D38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7</w:t>
            </w:r>
            <w:r w:rsidR="00BB6D81" w:rsidRPr="003A305C">
              <w:rPr>
                <w:rFonts w:ascii="Times New Roman" w:eastAsia="SimSun" w:hAnsi="Times New Roman"/>
                <w:b/>
                <w:sz w:val="24"/>
                <w:szCs w:val="24"/>
              </w:rPr>
              <w:t>.0</w:t>
            </w:r>
          </w:p>
        </w:tc>
      </w:tr>
      <w:tr w:rsidR="00E112F0" w:rsidRPr="004017E2" w14:paraId="45C92A51" w14:textId="77777777" w:rsidTr="005B55E0">
        <w:trPr>
          <w:trHeight w:val="350"/>
        </w:trPr>
        <w:tc>
          <w:tcPr>
            <w:tcW w:w="11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6647" w14:textId="77777777" w:rsidR="00E112F0" w:rsidRPr="004017E2" w:rsidRDefault="00E112F0" w:rsidP="00F65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6AAE1" w14:textId="77777777" w:rsidR="00E112F0" w:rsidRPr="004017E2" w:rsidRDefault="00E112F0" w:rsidP="00F65C6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hu-HU"/>
              </w:rPr>
            </w:pP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64198" w14:textId="3CF3355C" w:rsidR="00E112F0" w:rsidRPr="004017E2" w:rsidRDefault="00242500" w:rsidP="00F65C61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242500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Pravilo donosi</w:t>
            </w:r>
          </w:p>
        </w:tc>
        <w:tc>
          <w:tcPr>
            <w:tcW w:w="13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F457B" w14:textId="273D9606" w:rsidR="00E112F0" w:rsidRPr="004017E2" w:rsidRDefault="00E112F0" w:rsidP="00F65C61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Minist</w:t>
            </w:r>
            <w:r w:rsidR="00F24398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rica</w:t>
            </w: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MRRFEU</w:t>
            </w:r>
          </w:p>
        </w:tc>
      </w:tr>
    </w:tbl>
    <w:p w14:paraId="0A83677A" w14:textId="77777777" w:rsidR="005C46BC" w:rsidRPr="004017E2" w:rsidRDefault="005C46BC" w:rsidP="009E5FC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</w:pPr>
    </w:p>
    <w:p w14:paraId="65520CEF" w14:textId="5896C7CC" w:rsidR="00BE17DB" w:rsidRPr="004017E2" w:rsidRDefault="0048340C" w:rsidP="009E5FC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</w:pPr>
      <w:r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>GODIŠNJ</w:t>
      </w:r>
      <w:r w:rsidR="00603426"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>I</w:t>
      </w:r>
      <w:r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 xml:space="preserve"> SAŽET</w:t>
      </w:r>
      <w:r w:rsidR="00603426"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>AK</w:t>
      </w:r>
      <w:r w:rsidR="00881A4C"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 xml:space="preserve"> ZA</w:t>
      </w:r>
      <w:r w:rsidR="00E36626"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 xml:space="preserve"> OPERATIVNI PROGRAM KONKURENTNOST I KOHEZIJA</w:t>
      </w:r>
      <w:r w:rsidR="00881A4C"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 xml:space="preserve"> </w:t>
      </w:r>
      <w:r w:rsidR="00E36626"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>(</w:t>
      </w:r>
      <w:r w:rsidR="00881A4C"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>OPKK</w:t>
      </w:r>
      <w:r w:rsidR="00E36626"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>)</w:t>
      </w:r>
      <w:r w:rsidR="00881A4C"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 xml:space="preserve"> </w:t>
      </w:r>
    </w:p>
    <w:p w14:paraId="491AD0C7" w14:textId="24C833D1" w:rsidR="00603426" w:rsidRPr="004017E2" w:rsidRDefault="00603426" w:rsidP="009E5FC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</w:pPr>
      <w:r w:rsidRPr="004017E2">
        <w:rPr>
          <w:rFonts w:ascii="Times New Roman" w:eastAsia="Times New Roman" w:hAnsi="Times New Roman" w:cs="Times New Roman"/>
          <w:b/>
          <w:smallCaps/>
          <w:sz w:val="24"/>
          <w:szCs w:val="24"/>
          <w:lang w:val="hr-HR" w:eastAsia="en-GB"/>
        </w:rPr>
        <w:t>Računovodstvena godina ________________________</w:t>
      </w:r>
    </w:p>
    <w:p w14:paraId="4A968B13" w14:textId="65C9D286" w:rsidR="00BE17DB" w:rsidRPr="004017E2" w:rsidRDefault="0048340C" w:rsidP="00BB6D81">
      <w:pPr>
        <w:pBdr>
          <w:top w:val="single" w:sz="4" w:space="1" w:color="auto"/>
        </w:pBdr>
        <w:spacing w:after="200" w:line="276" w:lineRule="auto"/>
        <w:jc w:val="both"/>
        <w:rPr>
          <w:rFonts w:ascii="Times New Roman" w:eastAsia="Calibri" w:hAnsi="Times New Roman" w:cs="Times New Roman"/>
          <w:color w:val="44546A" w:themeColor="text2"/>
          <w:sz w:val="24"/>
          <w:szCs w:val="24"/>
          <w:u w:val="single"/>
          <w:lang w:val="hr-HR" w:eastAsia="en-GB"/>
        </w:rPr>
      </w:pPr>
      <w:r w:rsidRPr="004017E2">
        <w:rPr>
          <w:rFonts w:ascii="Times New Roman" w:eastAsia="Calibri" w:hAnsi="Times New Roman" w:cs="Times New Roman"/>
          <w:i/>
          <w:sz w:val="24"/>
          <w:szCs w:val="24"/>
          <w:lang w:val="hr-HR"/>
        </w:rPr>
        <w:t>Godišnji sažetak</w:t>
      </w:r>
      <w:r w:rsidR="00881A4C" w:rsidRPr="004017E2">
        <w:rPr>
          <w:rFonts w:ascii="Times New Roman" w:eastAsia="Calibri" w:hAnsi="Times New Roman" w:cs="Times New Roman"/>
          <w:i/>
          <w:sz w:val="24"/>
          <w:szCs w:val="24"/>
          <w:lang w:val="hr-HR"/>
        </w:rPr>
        <w:t xml:space="preserve"> o završnim revizijskim izvještajima i provedenim kontrol</w:t>
      </w:r>
      <w:r w:rsidR="00C92DDF" w:rsidRPr="004017E2">
        <w:rPr>
          <w:rFonts w:ascii="Times New Roman" w:eastAsia="Calibri" w:hAnsi="Times New Roman" w:cs="Times New Roman"/>
          <w:i/>
          <w:sz w:val="24"/>
          <w:szCs w:val="24"/>
          <w:lang w:val="hr-HR"/>
        </w:rPr>
        <w:t xml:space="preserve">ama, uključujući analize </w:t>
      </w:r>
      <w:r w:rsidR="0076638D" w:rsidRPr="004017E2">
        <w:rPr>
          <w:rFonts w:ascii="Times New Roman" w:eastAsia="Calibri" w:hAnsi="Times New Roman" w:cs="Times New Roman"/>
          <w:i/>
          <w:sz w:val="24"/>
          <w:szCs w:val="24"/>
          <w:lang w:val="hr-HR"/>
        </w:rPr>
        <w:t xml:space="preserve">naravi </w:t>
      </w:r>
      <w:r w:rsidR="00881A4C" w:rsidRPr="004017E2">
        <w:rPr>
          <w:rFonts w:ascii="Times New Roman" w:eastAsia="Calibri" w:hAnsi="Times New Roman" w:cs="Times New Roman"/>
          <w:i/>
          <w:sz w:val="24"/>
          <w:szCs w:val="24"/>
          <w:lang w:val="hr-HR"/>
        </w:rPr>
        <w:t xml:space="preserve">i opsega pogrešaka i slabosti identificiranih u sustavu, kao i planirane i poduzete </w:t>
      </w:r>
      <w:r w:rsidR="00EF1EF2" w:rsidRPr="004017E2">
        <w:rPr>
          <w:rFonts w:ascii="Times New Roman" w:eastAsia="Calibri" w:hAnsi="Times New Roman" w:cs="Times New Roman"/>
          <w:i/>
          <w:sz w:val="24"/>
          <w:szCs w:val="24"/>
          <w:lang w:val="hr-HR"/>
        </w:rPr>
        <w:t>korektivne mjer</w:t>
      </w:r>
      <w:r w:rsidR="00881A4C" w:rsidRPr="004017E2">
        <w:rPr>
          <w:rFonts w:ascii="Times New Roman" w:eastAsia="Calibri" w:hAnsi="Times New Roman" w:cs="Times New Roman"/>
          <w:i/>
          <w:sz w:val="24"/>
          <w:szCs w:val="24"/>
          <w:lang w:val="hr-HR"/>
        </w:rPr>
        <w:t>e.</w:t>
      </w:r>
      <w:r w:rsidR="00BE17DB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lang w:val="hr-HR"/>
        </w:rPr>
        <w:t xml:space="preserve">A) </w:t>
      </w: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lang w:val="hr-HR"/>
        </w:rPr>
        <w:t xml:space="preserve">Sažetak </w:t>
      </w: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lang w:val="hr-HR"/>
        </w:rPr>
        <w:t>završnih revizijskih izvješća</w:t>
      </w: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lang w:val="hr-HR"/>
        </w:rPr>
        <w:t xml:space="preserve"> izdanih u vezi </w:t>
      </w:r>
      <w:r w:rsidR="00BE17DB" w:rsidRPr="004017E2">
        <w:rPr>
          <w:rFonts w:ascii="Times New Roman" w:eastAsia="Calibri" w:hAnsi="Times New Roman" w:cs="Times New Roman"/>
          <w:color w:val="44546A" w:themeColor="text2"/>
          <w:sz w:val="24"/>
          <w:szCs w:val="24"/>
          <w:u w:val="single"/>
          <w:lang w:val="hr-HR" w:eastAsia="en-GB"/>
        </w:rPr>
        <w:t xml:space="preserve"> </w:t>
      </w:r>
    </w:p>
    <w:p w14:paraId="0C623438" w14:textId="03C20E3D" w:rsidR="00F5142B" w:rsidRPr="004017E2" w:rsidRDefault="0048340C" w:rsidP="00F5142B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revizija</w:t>
      </w:r>
      <w:r w:rsidR="007D72E2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ma</w:t>
      </w:r>
      <w:r w:rsidR="00C92DDF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02078C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sustava </w:t>
      </w:r>
      <w:r w:rsidR="00C92DDF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upravljanja i kontrole </w:t>
      </w:r>
      <w:r w:rsidR="0002078C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uspostavljenog za</w:t>
      </w: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program </w:t>
      </w:r>
      <w:r w:rsidR="00A919BB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(naziv operativnog programa, CCI)“</w:t>
      </w:r>
    </w:p>
    <w:p w14:paraId="2E79F36E" w14:textId="0248D4EB" w:rsidR="00F5142B" w:rsidRPr="004017E2" w:rsidRDefault="0048340C" w:rsidP="00F5142B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revizija</w:t>
      </w:r>
      <w:r w:rsidR="007D72E2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ma</w:t>
      </w: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izdataka prijavljenih tijekom računovodstvene godine, završno s 30. lipnja</w:t>
      </w:r>
      <w:r w:rsidR="005F3FC5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… (godina)</w:t>
      </w:r>
      <w:r w:rsidR="00EF1EF2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;</w:t>
      </w: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</w:p>
    <w:p w14:paraId="177C8773" w14:textId="4E027746" w:rsidR="00C92DDF" w:rsidRPr="004017E2" w:rsidRDefault="00B41B5D" w:rsidP="00AE011D">
      <w:pPr>
        <w:numPr>
          <w:ilvl w:val="0"/>
          <w:numId w:val="2"/>
        </w:numPr>
        <w:spacing w:before="60" w:after="6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revizija</w:t>
      </w:r>
      <w:r w:rsidR="007D72E2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ma</w:t>
      </w: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računa</w:t>
      </w:r>
      <w:r w:rsidR="00C92DDF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p</w:t>
      </w:r>
      <w:r w:rsidR="00EF1EF2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rema članku 127</w:t>
      </w:r>
      <w:r w:rsidR="001E18D7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. stavku 5. točke </w:t>
      </w:r>
      <w:r w:rsidR="00DD2F20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(</w:t>
      </w:r>
      <w:r w:rsidR="00EF1EF2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a</w:t>
      </w:r>
      <w:r w:rsidR="00DD2F20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)</w:t>
      </w:r>
      <w:r w:rsidR="00EF1EF2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1230F5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Uredbe o </w:t>
      </w:r>
      <w:r w:rsidR="001E18D7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zajedničkim odredbama</w:t>
      </w:r>
      <w:r w:rsidR="001230F5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(UZO)</w:t>
      </w:r>
      <w:r w:rsidR="00C92DDF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i članku 59</w:t>
      </w:r>
      <w:r w:rsidR="001E18D7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stavku </w:t>
      </w:r>
      <w:r w:rsidR="00C92DDF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5</w:t>
      </w:r>
      <w:r w:rsidR="001E18D7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. točke </w:t>
      </w:r>
      <w:r w:rsidR="007E3567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(a)</w:t>
      </w:r>
      <w:r w:rsidR="005B2EDE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  <w:r w:rsidR="00C92DDF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Financijske </w:t>
      </w:r>
      <w:r w:rsidR="00915D9A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uredbe</w:t>
      </w:r>
      <w:r w:rsidR="00EF1EF2"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.</w:t>
      </w: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</w:t>
      </w:r>
    </w:p>
    <w:p w14:paraId="1F64FB01" w14:textId="77777777" w:rsidR="007E3004" w:rsidRPr="004017E2" w:rsidRDefault="007E3004" w:rsidP="00AE011D">
      <w:pPr>
        <w:numPr>
          <w:ilvl w:val="0"/>
          <w:numId w:val="2"/>
        </w:numPr>
        <w:spacing w:before="60" w:after="120" w:line="240" w:lineRule="auto"/>
        <w:ind w:left="714" w:hanging="357"/>
        <w:jc w:val="right"/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Tabl</w:t>
      </w:r>
      <w:r w:rsidR="00C92DDF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ica</w:t>
      </w: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1</w:t>
      </w:r>
    </w:p>
    <w:tbl>
      <w:tblPr>
        <w:tblW w:w="10490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2058"/>
        <w:gridCol w:w="2761"/>
        <w:gridCol w:w="2669"/>
        <w:gridCol w:w="2519"/>
      </w:tblGrid>
      <w:tr w:rsidR="00433D95" w:rsidRPr="004017E2" w14:paraId="69E51A57" w14:textId="77777777" w:rsidTr="005B55E0">
        <w:tc>
          <w:tcPr>
            <w:tcW w:w="483" w:type="dxa"/>
            <w:vMerge w:val="restart"/>
            <w:shd w:val="clear" w:color="auto" w:fill="auto"/>
          </w:tcPr>
          <w:p w14:paraId="7FFE1FFD" w14:textId="77777777" w:rsidR="00E5643E" w:rsidRPr="004017E2" w:rsidRDefault="00C92DDF" w:rsidP="00BE17D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Br</w:t>
            </w:r>
          </w:p>
        </w:tc>
        <w:tc>
          <w:tcPr>
            <w:tcW w:w="2058" w:type="dxa"/>
            <w:shd w:val="clear" w:color="auto" w:fill="auto"/>
          </w:tcPr>
          <w:p w14:paraId="531E29D1" w14:textId="77777777" w:rsidR="00E5643E" w:rsidRPr="004017E2" w:rsidRDefault="00C92DDF" w:rsidP="00BE17D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Vrsta revizije</w:t>
            </w:r>
          </w:p>
        </w:tc>
        <w:tc>
          <w:tcPr>
            <w:tcW w:w="2761" w:type="dxa"/>
            <w:shd w:val="clear" w:color="auto" w:fill="auto"/>
          </w:tcPr>
          <w:p w14:paraId="473708F9" w14:textId="77777777" w:rsidR="00E5643E" w:rsidRPr="004017E2" w:rsidRDefault="00E5643E" w:rsidP="00BE17D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Re</w:t>
            </w:r>
            <w:r w:rsidR="00C92DDF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zultat revizije</w:t>
            </w:r>
          </w:p>
        </w:tc>
        <w:tc>
          <w:tcPr>
            <w:tcW w:w="2669" w:type="dxa"/>
            <w:shd w:val="clear" w:color="auto" w:fill="auto"/>
          </w:tcPr>
          <w:p w14:paraId="25600E54" w14:textId="77777777" w:rsidR="00E5643E" w:rsidRPr="004017E2" w:rsidRDefault="00C92DDF" w:rsidP="00153C71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 xml:space="preserve">Analiza vrste i opsega identificiranih pogrešaka i slabosti  </w:t>
            </w:r>
          </w:p>
        </w:tc>
        <w:tc>
          <w:tcPr>
            <w:tcW w:w="2519" w:type="dxa"/>
            <w:shd w:val="clear" w:color="auto" w:fill="auto"/>
          </w:tcPr>
          <w:p w14:paraId="71126622" w14:textId="77777777" w:rsidR="00E5643E" w:rsidRPr="004017E2" w:rsidRDefault="00153C71" w:rsidP="00BE17DB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Poduzete</w:t>
            </w:r>
            <w:r w:rsidR="00EF1EF2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 xml:space="preserve"> ili planirane korektivne mjere</w:t>
            </w:r>
          </w:p>
        </w:tc>
      </w:tr>
      <w:tr w:rsidR="00433D95" w:rsidRPr="004017E2" w14:paraId="725D3CD3" w14:textId="77777777" w:rsidTr="005B55E0">
        <w:tc>
          <w:tcPr>
            <w:tcW w:w="483" w:type="dxa"/>
            <w:vMerge/>
            <w:shd w:val="clear" w:color="auto" w:fill="auto"/>
          </w:tcPr>
          <w:p w14:paraId="15305C57" w14:textId="77777777" w:rsidR="00E5643E" w:rsidRPr="004017E2" w:rsidRDefault="00E5643E" w:rsidP="00503A3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058" w:type="dxa"/>
            <w:shd w:val="clear" w:color="auto" w:fill="auto"/>
          </w:tcPr>
          <w:p w14:paraId="7B533C2F" w14:textId="77777777" w:rsidR="00E5643E" w:rsidRPr="004017E2" w:rsidRDefault="00E5643E" w:rsidP="00503A3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(1)</w:t>
            </w:r>
          </w:p>
        </w:tc>
        <w:tc>
          <w:tcPr>
            <w:tcW w:w="2761" w:type="dxa"/>
            <w:shd w:val="clear" w:color="auto" w:fill="auto"/>
          </w:tcPr>
          <w:p w14:paraId="4338DB53" w14:textId="77777777" w:rsidR="00E5643E" w:rsidRPr="004017E2" w:rsidRDefault="00E5643E" w:rsidP="00E5643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(2)</w:t>
            </w:r>
          </w:p>
        </w:tc>
        <w:tc>
          <w:tcPr>
            <w:tcW w:w="2669" w:type="dxa"/>
            <w:shd w:val="clear" w:color="auto" w:fill="auto"/>
          </w:tcPr>
          <w:p w14:paraId="7742C98E" w14:textId="77777777" w:rsidR="00E5643E" w:rsidRPr="004017E2" w:rsidRDefault="00E5643E" w:rsidP="00503A3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(3)</w:t>
            </w:r>
          </w:p>
        </w:tc>
        <w:tc>
          <w:tcPr>
            <w:tcW w:w="2519" w:type="dxa"/>
            <w:shd w:val="clear" w:color="auto" w:fill="auto"/>
          </w:tcPr>
          <w:p w14:paraId="583B3496" w14:textId="77777777" w:rsidR="00E5643E" w:rsidRPr="004017E2" w:rsidRDefault="00E5643E" w:rsidP="00503A3D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(4)</w:t>
            </w:r>
          </w:p>
        </w:tc>
      </w:tr>
      <w:tr w:rsidR="00433D95" w:rsidRPr="004017E2" w14:paraId="79DE3C39" w14:textId="77777777" w:rsidTr="005B55E0">
        <w:tc>
          <w:tcPr>
            <w:tcW w:w="483" w:type="dxa"/>
            <w:shd w:val="clear" w:color="auto" w:fill="auto"/>
          </w:tcPr>
          <w:p w14:paraId="7DF35ECA" w14:textId="77777777" w:rsidR="00503A3D" w:rsidRPr="004017E2" w:rsidRDefault="00503A3D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1</w:t>
            </w:r>
          </w:p>
        </w:tc>
        <w:tc>
          <w:tcPr>
            <w:tcW w:w="2058" w:type="dxa"/>
            <w:shd w:val="clear" w:color="auto" w:fill="auto"/>
          </w:tcPr>
          <w:p w14:paraId="7C885A33" w14:textId="77777777" w:rsidR="00503A3D" w:rsidRPr="004017E2" w:rsidRDefault="00153C71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Revizije sustava</w:t>
            </w:r>
          </w:p>
          <w:p w14:paraId="15F9493F" w14:textId="77777777" w:rsidR="00503A3D" w:rsidRPr="004017E2" w:rsidRDefault="00503A3D" w:rsidP="00503A3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761" w:type="dxa"/>
            <w:shd w:val="clear" w:color="auto" w:fill="auto"/>
          </w:tcPr>
          <w:p w14:paraId="177BACF6" w14:textId="2274E7F3" w:rsidR="00503A3D" w:rsidRPr="004017E2" w:rsidRDefault="00544347" w:rsidP="003B1C5B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Poveznica</w:t>
            </w:r>
            <w:r w:rsidR="00152148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na </w:t>
            </w:r>
            <w:r w:rsidR="003B1C5B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Godišnje kontrolno izvješće (</w:t>
            </w:r>
            <w:r w:rsidR="00152148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GKI</w:t>
            </w:r>
            <w:r w:rsidR="003B1C5B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  <w:r w:rsidR="00152148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(Tabl</w:t>
            </w:r>
            <w:r w:rsidR="00152148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ica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10.</w:t>
            </w:r>
            <w:r w:rsidR="00152148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1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152148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Priloga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IX </w:t>
            </w:r>
            <w:r w:rsidR="003B1C5B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Provedbenoj uredbi Komisije (</w:t>
            </w:r>
            <w:r w:rsidR="00152148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PUK</w:t>
            </w:r>
            <w:r w:rsidR="003B1C5B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  <w:r w:rsidR="00F65CBD" w:rsidRPr="004017E2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footnoteReference w:id="1"/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  <w:tc>
          <w:tcPr>
            <w:tcW w:w="2669" w:type="dxa"/>
            <w:shd w:val="clear" w:color="auto" w:fill="auto"/>
          </w:tcPr>
          <w:p w14:paraId="7EA7203F" w14:textId="4EA2F981" w:rsidR="00503A3D" w:rsidRPr="004017E2" w:rsidRDefault="00544347" w:rsidP="00F9775F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Poveznica</w:t>
            </w:r>
            <w:r w:rsidR="00B56FDA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na GKI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</w:t>
            </w:r>
            <w:r w:rsidR="00F9775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dio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4.3, 4.4, 4.6 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</w:t>
            </w:r>
            <w:r w:rsidR="00B56FDA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riloga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IX </w:t>
            </w:r>
            <w:r w:rsidR="00B56FDA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PUK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  <w:tc>
          <w:tcPr>
            <w:tcW w:w="2519" w:type="dxa"/>
            <w:shd w:val="clear" w:color="auto" w:fill="auto"/>
          </w:tcPr>
          <w:p w14:paraId="6C8D0AA5" w14:textId="5D4AAF64" w:rsidR="00503A3D" w:rsidRPr="004017E2" w:rsidRDefault="00544347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Poveznica</w:t>
            </w:r>
            <w:r w:rsidR="000F1AC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na GKI 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</w:t>
            </w:r>
            <w:r w:rsidR="00F9775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dio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4.4, 4.5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P</w:t>
            </w:r>
            <w:r w:rsidR="00C4262C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riloga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IX </w:t>
            </w:r>
            <w:r w:rsidR="00C800A4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PUK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</w:tr>
      <w:tr w:rsidR="00433D95" w:rsidRPr="004017E2" w14:paraId="52826942" w14:textId="77777777" w:rsidTr="005B55E0">
        <w:tc>
          <w:tcPr>
            <w:tcW w:w="483" w:type="dxa"/>
            <w:shd w:val="clear" w:color="auto" w:fill="auto"/>
          </w:tcPr>
          <w:p w14:paraId="5DB94048" w14:textId="77777777" w:rsidR="00503A3D" w:rsidRPr="004017E2" w:rsidRDefault="00503A3D" w:rsidP="004D4699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2</w:t>
            </w:r>
          </w:p>
        </w:tc>
        <w:tc>
          <w:tcPr>
            <w:tcW w:w="2058" w:type="dxa"/>
            <w:shd w:val="clear" w:color="auto" w:fill="auto"/>
          </w:tcPr>
          <w:p w14:paraId="26E3E173" w14:textId="77777777" w:rsidR="00503A3D" w:rsidRPr="004017E2" w:rsidRDefault="00153C7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Revizije operacija</w:t>
            </w:r>
          </w:p>
        </w:tc>
        <w:tc>
          <w:tcPr>
            <w:tcW w:w="2761" w:type="dxa"/>
            <w:shd w:val="clear" w:color="auto" w:fill="auto"/>
          </w:tcPr>
          <w:p w14:paraId="0F4CC3B5" w14:textId="15376DE4" w:rsidR="00C4262C" w:rsidRPr="004017E2" w:rsidRDefault="00544347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Poveznica</w:t>
            </w:r>
            <w:r w:rsidR="00C4262C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na GKI </w:t>
            </w:r>
          </w:p>
          <w:p w14:paraId="0EFCC2CF" w14:textId="763B9DEA" w:rsidR="00503A3D" w:rsidRPr="004017E2" w:rsidRDefault="00503A3D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lastRenderedPageBreak/>
              <w:t>(Tabl</w:t>
            </w:r>
            <w:r w:rsidR="00835B3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ica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10.2 </w:t>
            </w:r>
            <w:r w:rsidR="00835B3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i </w:t>
            </w:r>
            <w:r w:rsidR="00F9775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dio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5.13 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Priloga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IX </w:t>
            </w:r>
            <w:r w:rsidR="00835B3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PUK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  <w:tc>
          <w:tcPr>
            <w:tcW w:w="2669" w:type="dxa"/>
            <w:shd w:val="clear" w:color="auto" w:fill="auto"/>
          </w:tcPr>
          <w:p w14:paraId="11CA40B1" w14:textId="0A7F8026" w:rsidR="00503A3D" w:rsidRPr="004017E2" w:rsidRDefault="00544347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lastRenderedPageBreak/>
              <w:t xml:space="preserve">Poveznica </w:t>
            </w:r>
            <w:r w:rsidR="00C4262C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na GKI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</w:t>
            </w:r>
            <w:r w:rsidR="00F9775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dio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5.7, 5.10, 5.11, 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Priloga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IX 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PUK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  <w:tc>
          <w:tcPr>
            <w:tcW w:w="2519" w:type="dxa"/>
            <w:shd w:val="clear" w:color="auto" w:fill="auto"/>
          </w:tcPr>
          <w:p w14:paraId="17207057" w14:textId="5863EDBF" w:rsidR="00503A3D" w:rsidRPr="004017E2" w:rsidRDefault="00544347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Poveznica </w:t>
            </w:r>
            <w:r w:rsidR="00C4262C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na GKI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</w:t>
            </w:r>
            <w:r w:rsidR="00F9775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dio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5.8, 5.11, 5.12 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Priloga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IX </w:t>
            </w:r>
            <w:r w:rsidR="00FE5C2E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PUK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</w:tr>
      <w:tr w:rsidR="00433D95" w:rsidRPr="004017E2" w14:paraId="1C9017D4" w14:textId="77777777" w:rsidTr="005B55E0">
        <w:tc>
          <w:tcPr>
            <w:tcW w:w="483" w:type="dxa"/>
            <w:shd w:val="clear" w:color="auto" w:fill="auto"/>
          </w:tcPr>
          <w:p w14:paraId="700CF6E5" w14:textId="77777777" w:rsidR="00503A3D" w:rsidRPr="004017E2" w:rsidRDefault="00503A3D" w:rsidP="004D4699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3</w:t>
            </w:r>
          </w:p>
        </w:tc>
        <w:tc>
          <w:tcPr>
            <w:tcW w:w="2058" w:type="dxa"/>
            <w:shd w:val="clear" w:color="auto" w:fill="auto"/>
          </w:tcPr>
          <w:p w14:paraId="3C689AF0" w14:textId="77777777" w:rsidR="00503A3D" w:rsidRPr="004017E2" w:rsidRDefault="00153C71" w:rsidP="00503A3D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Revizije računa</w:t>
            </w:r>
          </w:p>
        </w:tc>
        <w:tc>
          <w:tcPr>
            <w:tcW w:w="2761" w:type="dxa"/>
            <w:shd w:val="clear" w:color="auto" w:fill="auto"/>
          </w:tcPr>
          <w:p w14:paraId="140CCAD2" w14:textId="0CA49E38" w:rsidR="00503A3D" w:rsidRPr="004017E2" w:rsidRDefault="00544347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Poveznica </w:t>
            </w:r>
            <w:r w:rsidR="00C4262C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na GKI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</w:t>
            </w:r>
            <w:r w:rsidR="00F9775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dio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6.3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Priloga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IX 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PUK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  <w:tc>
          <w:tcPr>
            <w:tcW w:w="2669" w:type="dxa"/>
            <w:shd w:val="clear" w:color="auto" w:fill="auto"/>
          </w:tcPr>
          <w:p w14:paraId="49CDA7C4" w14:textId="2256780D" w:rsidR="00503A3D" w:rsidRPr="004017E2" w:rsidRDefault="00544347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Poveznica </w:t>
            </w:r>
            <w:r w:rsidR="00C4262C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na GKI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</w:t>
            </w:r>
            <w:r w:rsidR="00F9775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dio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6.4</w:t>
            </w:r>
            <w:r w:rsidR="00FE5C2E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Priloga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IX 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PUK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  <w:tc>
          <w:tcPr>
            <w:tcW w:w="2519" w:type="dxa"/>
            <w:shd w:val="clear" w:color="auto" w:fill="auto"/>
          </w:tcPr>
          <w:p w14:paraId="71A9DCFF" w14:textId="6A485CEB" w:rsidR="00503A3D" w:rsidRPr="004017E2" w:rsidRDefault="00544347" w:rsidP="00503A3D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Poveznica </w:t>
            </w:r>
            <w:r w:rsidR="00C4262C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na GKI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</w:t>
            </w:r>
            <w:r w:rsidR="00F9775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dio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6.3 </w:t>
            </w:r>
            <w:r w:rsidR="00FE5C2E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Priloga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IX </w:t>
            </w:r>
            <w:r w:rsidR="00433D95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PUK</w:t>
            </w:r>
            <w:r w:rsidR="00503A3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</w:tr>
      <w:tr w:rsidR="00673D2E" w:rsidRPr="004017E2" w14:paraId="6698D3FE" w14:textId="77777777" w:rsidTr="005B55E0">
        <w:tc>
          <w:tcPr>
            <w:tcW w:w="483" w:type="dxa"/>
            <w:shd w:val="clear" w:color="auto" w:fill="auto"/>
          </w:tcPr>
          <w:p w14:paraId="5EEED6C9" w14:textId="77777777" w:rsidR="00673D2E" w:rsidRPr="004017E2" w:rsidRDefault="00673D2E" w:rsidP="00673D2E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4</w:t>
            </w:r>
          </w:p>
        </w:tc>
        <w:tc>
          <w:tcPr>
            <w:tcW w:w="10007" w:type="dxa"/>
            <w:gridSpan w:val="4"/>
            <w:shd w:val="clear" w:color="auto" w:fill="auto"/>
          </w:tcPr>
          <w:p w14:paraId="0BB2D4C2" w14:textId="224BA117" w:rsidR="00673D2E" w:rsidRPr="004017E2" w:rsidRDefault="00153C71" w:rsidP="00AB655E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Dodatne informacije UT-a o poduzetim ili planiranim korektivnim radnjama, ako postoje: </w:t>
            </w:r>
            <w:r w:rsidR="00FC6BDE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&lt;</w:t>
            </w: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dodati informacije u slučaju</w:t>
            </w:r>
            <w:r w:rsidR="00C4262C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da GKI ne uključuje</w:t>
            </w:r>
            <w:r w:rsidR="00654496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544347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poveznice</w:t>
            </w:r>
            <w:r w:rsidR="00AF2E00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na </w:t>
            </w:r>
            <w:r w:rsidR="00402BAC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raspored planiranih korektivnih akcija</w:t>
            </w:r>
            <w:r w:rsidR="00654496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, financijsk</w:t>
            </w:r>
            <w:r w:rsidR="00402BAC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e</w:t>
            </w:r>
            <w:r w:rsidR="00654496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korekcij</w:t>
            </w:r>
            <w:r w:rsidR="00402BAC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e</w:t>
            </w:r>
            <w:r w:rsidR="00654496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F81A88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primijenjen</w:t>
            </w:r>
            <w:r w:rsidR="00402BAC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e</w:t>
            </w:r>
            <w:r w:rsidR="00654496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na izdatke prijavljene Komisiji</w:t>
            </w:r>
            <w:r w:rsidR="00DF5225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&gt;</w:t>
            </w:r>
          </w:p>
        </w:tc>
      </w:tr>
      <w:tr w:rsidR="00A36E71" w:rsidRPr="004017E2" w14:paraId="52FDC889" w14:textId="77777777" w:rsidTr="005B55E0">
        <w:tc>
          <w:tcPr>
            <w:tcW w:w="10490" w:type="dxa"/>
            <w:gridSpan w:val="5"/>
            <w:shd w:val="clear" w:color="auto" w:fill="auto"/>
          </w:tcPr>
          <w:p w14:paraId="100995FC" w14:textId="77777777" w:rsidR="00A36E71" w:rsidRPr="004017E2" w:rsidRDefault="00F81A88" w:rsidP="0043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Iznos korekcija na računima</w:t>
            </w:r>
          </w:p>
          <w:p w14:paraId="5ACBAECD" w14:textId="0C4DF812" w:rsidR="00A36E71" w:rsidRPr="004017E2" w:rsidRDefault="00F81A88" w:rsidP="00CD3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kao rezultat nepravilnosti </w:t>
            </w:r>
            <w:r w:rsidR="00A36E71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  <w:t>identif</w:t>
            </w: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  <w:t>iciran</w:t>
            </w:r>
            <w:r w:rsidR="008B5484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  <w:t>ih</w:t>
            </w: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  <w:t xml:space="preserve"> </w:t>
            </w:r>
            <w:r w:rsidR="00B02961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  <w:t xml:space="preserve">tijekom revizija operacija </w:t>
            </w:r>
            <w:r w:rsidR="006E4F3D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  <w:t>Tijela za reviziju (</w:t>
            </w:r>
            <w:r w:rsidR="00B02961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  <w:t>TR</w:t>
            </w:r>
            <w:r w:rsidR="006E4F3D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  <w:t>)</w:t>
            </w:r>
            <w:r w:rsidR="00A36E7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F25C6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i proveden do i nakon podnošenja završnog  </w:t>
            </w:r>
            <w:r w:rsidR="00EF1E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zahtjeva za međuplaćanje</w:t>
            </w:r>
            <w:r w:rsidR="00F25C6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, </w:t>
            </w:r>
            <w:r w:rsidR="00EF1E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zbrojen</w:t>
            </w:r>
            <w:r w:rsidR="00CD3939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</w:t>
            </w:r>
            <w:r w:rsidR="00EF1E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na razini prioritetne osi</w:t>
            </w:r>
            <w:r w:rsidR="00A36E7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.</w:t>
            </w:r>
          </w:p>
        </w:tc>
      </w:tr>
      <w:tr w:rsidR="00835B36" w:rsidRPr="004017E2" w14:paraId="52C152BD" w14:textId="77777777" w:rsidTr="005B55E0">
        <w:trPr>
          <w:trHeight w:val="1151"/>
        </w:trPr>
        <w:tc>
          <w:tcPr>
            <w:tcW w:w="483" w:type="dxa"/>
            <w:shd w:val="clear" w:color="auto" w:fill="auto"/>
          </w:tcPr>
          <w:p w14:paraId="6D031658" w14:textId="77777777" w:rsidR="00A36E71" w:rsidRPr="004017E2" w:rsidRDefault="00A36E71" w:rsidP="0043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14:paraId="2A7D215C" w14:textId="77777777" w:rsidR="00A36E71" w:rsidRPr="004017E2" w:rsidRDefault="00654496" w:rsidP="0043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Naziv Prioritetne osi</w:t>
            </w:r>
          </w:p>
        </w:tc>
        <w:tc>
          <w:tcPr>
            <w:tcW w:w="2669" w:type="dxa"/>
            <w:shd w:val="clear" w:color="auto" w:fill="auto"/>
          </w:tcPr>
          <w:p w14:paraId="1D7595C6" w14:textId="77777777" w:rsidR="00EF1EF2" w:rsidRPr="004017E2" w:rsidRDefault="00EF1EF2" w:rsidP="0043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hr-HR"/>
              </w:rPr>
              <w:t>Do</w:t>
            </w:r>
            <w:r w:rsidR="00A36E7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podnošenja završnog zahtjeva za međuplaćanje</w:t>
            </w:r>
          </w:p>
          <w:p w14:paraId="42FF8E1E" w14:textId="77777777" w:rsidR="00A36E71" w:rsidRPr="004017E2" w:rsidRDefault="00EF1E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Ukupan iznos</w:t>
            </w:r>
            <w:r w:rsidR="00A36E7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(EUR)</w:t>
            </w:r>
          </w:p>
        </w:tc>
        <w:tc>
          <w:tcPr>
            <w:tcW w:w="2519" w:type="dxa"/>
            <w:shd w:val="clear" w:color="auto" w:fill="auto"/>
          </w:tcPr>
          <w:p w14:paraId="60FBEFC9" w14:textId="77777777" w:rsidR="00A36E71" w:rsidRPr="004017E2" w:rsidRDefault="00EF1EF2" w:rsidP="0043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hr-HR"/>
              </w:rPr>
              <w:t xml:space="preserve">Nakon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podnošenja završnog zahtjeva za međuplaćanje</w:t>
            </w:r>
            <w:r w:rsidRPr="004017E2" w:rsidDel="00EF1EF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A36E7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val="hr-HR"/>
              </w:rPr>
              <w:footnoteReference w:id="2"/>
            </w:r>
          </w:p>
          <w:p w14:paraId="3C2AD886" w14:textId="77777777" w:rsidR="00A36E71" w:rsidRPr="004017E2" w:rsidRDefault="00C4262C" w:rsidP="00433D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Ukupan iznos</w:t>
            </w:r>
            <w:r w:rsidR="00A36E7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(EUR)</w:t>
            </w:r>
          </w:p>
        </w:tc>
      </w:tr>
      <w:tr w:rsidR="00835B36" w:rsidRPr="004017E2" w14:paraId="4BA28AD5" w14:textId="77777777" w:rsidTr="005B55E0">
        <w:tc>
          <w:tcPr>
            <w:tcW w:w="483" w:type="dxa"/>
            <w:shd w:val="clear" w:color="auto" w:fill="auto"/>
          </w:tcPr>
          <w:p w14:paraId="5D8FF021" w14:textId="77777777" w:rsidR="00A36E71" w:rsidRPr="004017E2" w:rsidRDefault="002D1E70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5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75FC0929" w14:textId="77777777" w:rsidR="00A36E71" w:rsidRPr="004017E2" w:rsidRDefault="00A36E71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Priori</w:t>
            </w:r>
            <w:r w:rsidR="00846698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tetna os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1</w:t>
            </w:r>
          </w:p>
        </w:tc>
        <w:tc>
          <w:tcPr>
            <w:tcW w:w="2669" w:type="dxa"/>
            <w:shd w:val="clear" w:color="auto" w:fill="auto"/>
          </w:tcPr>
          <w:p w14:paraId="60F86EAA" w14:textId="77777777" w:rsidR="00A36E71" w:rsidRPr="004017E2" w:rsidRDefault="00A36E71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519" w:type="dxa"/>
            <w:shd w:val="clear" w:color="auto" w:fill="auto"/>
          </w:tcPr>
          <w:p w14:paraId="35BA6ADE" w14:textId="77777777" w:rsidR="00A36E71" w:rsidRPr="004017E2" w:rsidRDefault="00A36E71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  <w:tr w:rsidR="00835B36" w:rsidRPr="004017E2" w14:paraId="674DACA2" w14:textId="77777777" w:rsidTr="005B55E0">
        <w:tc>
          <w:tcPr>
            <w:tcW w:w="483" w:type="dxa"/>
            <w:shd w:val="clear" w:color="auto" w:fill="auto"/>
          </w:tcPr>
          <w:p w14:paraId="35B4F275" w14:textId="77777777" w:rsidR="00A36E71" w:rsidRPr="004017E2" w:rsidRDefault="002D1E70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6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79C64D9D" w14:textId="77777777" w:rsidR="00A36E71" w:rsidRPr="004017E2" w:rsidRDefault="00A36E71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Priori</w:t>
            </w:r>
            <w:r w:rsidR="00846698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tetna os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2</w:t>
            </w:r>
          </w:p>
        </w:tc>
        <w:tc>
          <w:tcPr>
            <w:tcW w:w="2669" w:type="dxa"/>
            <w:shd w:val="clear" w:color="auto" w:fill="auto"/>
          </w:tcPr>
          <w:p w14:paraId="479C7B71" w14:textId="77777777" w:rsidR="00A36E71" w:rsidRPr="004017E2" w:rsidRDefault="00A36E71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519" w:type="dxa"/>
            <w:shd w:val="clear" w:color="auto" w:fill="auto"/>
          </w:tcPr>
          <w:p w14:paraId="59387E2F" w14:textId="77777777" w:rsidR="00A36E71" w:rsidRPr="004017E2" w:rsidRDefault="00A36E71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  <w:tr w:rsidR="00835B36" w:rsidRPr="004017E2" w14:paraId="20030A7D" w14:textId="77777777" w:rsidTr="005B55E0">
        <w:tc>
          <w:tcPr>
            <w:tcW w:w="483" w:type="dxa"/>
            <w:shd w:val="clear" w:color="auto" w:fill="auto"/>
          </w:tcPr>
          <w:p w14:paraId="29E4C1B5" w14:textId="77777777" w:rsidR="00FB6394" w:rsidRPr="004017E2" w:rsidRDefault="00FB6394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…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47E80416" w14:textId="77777777" w:rsidR="00FB6394" w:rsidRPr="004017E2" w:rsidRDefault="00FB6394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…</w:t>
            </w:r>
          </w:p>
        </w:tc>
        <w:tc>
          <w:tcPr>
            <w:tcW w:w="2669" w:type="dxa"/>
            <w:shd w:val="clear" w:color="auto" w:fill="auto"/>
          </w:tcPr>
          <w:p w14:paraId="2AF196D6" w14:textId="77777777" w:rsidR="00FB6394" w:rsidRPr="004017E2" w:rsidRDefault="00FB6394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519" w:type="dxa"/>
            <w:shd w:val="clear" w:color="auto" w:fill="auto"/>
          </w:tcPr>
          <w:p w14:paraId="1134573A" w14:textId="77777777" w:rsidR="00FB6394" w:rsidRPr="004017E2" w:rsidRDefault="00FB6394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  <w:tr w:rsidR="00835B36" w:rsidRPr="004017E2" w14:paraId="3B4D41B2" w14:textId="77777777" w:rsidTr="005B55E0">
        <w:tc>
          <w:tcPr>
            <w:tcW w:w="483" w:type="dxa"/>
            <w:shd w:val="clear" w:color="auto" w:fill="auto"/>
          </w:tcPr>
          <w:p w14:paraId="2FB61CA7" w14:textId="77777777" w:rsidR="00FB6394" w:rsidRPr="004017E2" w:rsidRDefault="00FB6394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7</w:t>
            </w:r>
          </w:p>
        </w:tc>
        <w:tc>
          <w:tcPr>
            <w:tcW w:w="4819" w:type="dxa"/>
            <w:gridSpan w:val="2"/>
            <w:shd w:val="clear" w:color="auto" w:fill="auto"/>
          </w:tcPr>
          <w:p w14:paraId="7875F1D4" w14:textId="77777777" w:rsidR="00FB6394" w:rsidRPr="004017E2" w:rsidRDefault="00846698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Ukupno</w:t>
            </w:r>
          </w:p>
        </w:tc>
        <w:tc>
          <w:tcPr>
            <w:tcW w:w="2669" w:type="dxa"/>
            <w:shd w:val="clear" w:color="auto" w:fill="auto"/>
          </w:tcPr>
          <w:p w14:paraId="5FCB56F0" w14:textId="77777777" w:rsidR="00FB6394" w:rsidRPr="004017E2" w:rsidRDefault="00FB6394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519" w:type="dxa"/>
            <w:shd w:val="clear" w:color="auto" w:fill="auto"/>
          </w:tcPr>
          <w:p w14:paraId="16D31805" w14:textId="77777777" w:rsidR="00FB6394" w:rsidRPr="004017E2" w:rsidRDefault="00FB6394" w:rsidP="00433D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</w:tbl>
    <w:p w14:paraId="1DDE2740" w14:textId="1B8F0FAF" w:rsidR="006827EA" w:rsidRPr="004017E2" w:rsidRDefault="00BE17DB" w:rsidP="00BE17DB">
      <w:pPr>
        <w:spacing w:before="120" w:after="200" w:line="276" w:lineRule="auto"/>
        <w:jc w:val="both"/>
        <w:rPr>
          <w:rFonts w:ascii="Times New Roman" w:eastAsia="Calibri" w:hAnsi="Times New Roman" w:cs="Times New Roman"/>
          <w:color w:val="44546A" w:themeColor="text2"/>
          <w:sz w:val="24"/>
          <w:szCs w:val="24"/>
          <w:u w:val="single"/>
          <w:lang w:val="hr-HR" w:eastAsia="en-GB"/>
        </w:rPr>
      </w:pP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lang w:val="hr-HR"/>
        </w:rPr>
        <w:t xml:space="preserve">B) </w:t>
      </w: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S</w:t>
      </w:r>
      <w:r w:rsidR="00C4262C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ažetak </w:t>
      </w:r>
      <w:r w:rsidR="00C4262C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administrativnih provjera</w:t>
      </w:r>
      <w:r w:rsidR="00C4262C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</w:t>
      </w:r>
      <w:r w:rsidR="00BB3475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provedenih </w:t>
      </w:r>
      <w:r w:rsidR="00B37A7A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na</w:t>
      </w:r>
      <w:r w:rsidR="00F5753A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d</w:t>
      </w:r>
      <w:r w:rsidR="00B37A7A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izdacima </w:t>
      </w:r>
      <w:r w:rsidR="00F5753A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povezanih s</w:t>
      </w:r>
      <w:r w:rsidR="00C4262C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računovodstveno</w:t>
      </w:r>
      <w:r w:rsidR="00F5753A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m</w:t>
      </w:r>
      <w:r w:rsidR="00C4262C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godin</w:t>
      </w:r>
      <w:r w:rsidR="00F5753A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om koja je </w:t>
      </w:r>
      <w:r w:rsidR="00C4262C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završ</w:t>
      </w:r>
      <w:r w:rsidR="00F5753A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ila</w:t>
      </w:r>
      <w:r w:rsidR="00C4262C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30. lipnja … (godine)</w:t>
      </w: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</w:t>
      </w:r>
    </w:p>
    <w:p w14:paraId="6E949711" w14:textId="77777777" w:rsidR="00E60429" w:rsidRPr="004017E2" w:rsidRDefault="00E60429" w:rsidP="00E60429">
      <w:pPr>
        <w:spacing w:before="120" w:after="200" w:line="276" w:lineRule="auto"/>
        <w:jc w:val="right"/>
        <w:rPr>
          <w:rFonts w:ascii="Times New Roman" w:eastAsia="Calibri" w:hAnsi="Times New Roman" w:cs="Times New Roman"/>
          <w:b/>
          <w:color w:val="44546A" w:themeColor="text2"/>
          <w:sz w:val="24"/>
          <w:szCs w:val="24"/>
          <w:u w:val="single"/>
          <w:lang w:val="hr-HR" w:eastAsia="en-GB"/>
        </w:rPr>
      </w:pPr>
      <w:r w:rsidRPr="004017E2">
        <w:rPr>
          <w:rFonts w:ascii="Times New Roman" w:eastAsia="Calibri" w:hAnsi="Times New Roman" w:cs="Times New Roman"/>
          <w:b/>
          <w:color w:val="44546A" w:themeColor="text2"/>
          <w:sz w:val="24"/>
          <w:szCs w:val="24"/>
          <w:u w:val="single"/>
          <w:lang w:val="hr-HR" w:eastAsia="en-GB"/>
        </w:rPr>
        <w:t>Tabl</w:t>
      </w:r>
      <w:r w:rsidR="00C4262C" w:rsidRPr="004017E2">
        <w:rPr>
          <w:rFonts w:ascii="Times New Roman" w:eastAsia="Calibri" w:hAnsi="Times New Roman" w:cs="Times New Roman"/>
          <w:b/>
          <w:color w:val="44546A" w:themeColor="text2"/>
          <w:sz w:val="24"/>
          <w:szCs w:val="24"/>
          <w:u w:val="single"/>
          <w:lang w:val="hr-HR" w:eastAsia="en-GB"/>
        </w:rPr>
        <w:t>ica</w:t>
      </w:r>
      <w:r w:rsidRPr="004017E2">
        <w:rPr>
          <w:rFonts w:ascii="Times New Roman" w:eastAsia="Calibri" w:hAnsi="Times New Roman" w:cs="Times New Roman"/>
          <w:b/>
          <w:color w:val="44546A" w:themeColor="text2"/>
          <w:sz w:val="24"/>
          <w:szCs w:val="24"/>
          <w:u w:val="single"/>
          <w:lang w:val="hr-HR" w:eastAsia="en-GB"/>
        </w:rPr>
        <w:t xml:space="preserve"> 2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5098"/>
        <w:gridCol w:w="5198"/>
      </w:tblGrid>
      <w:tr w:rsidR="0014579D" w:rsidRPr="004017E2" w14:paraId="5EC1E795" w14:textId="77777777" w:rsidTr="005B55E0">
        <w:tc>
          <w:tcPr>
            <w:tcW w:w="336" w:type="dxa"/>
            <w:shd w:val="clear" w:color="auto" w:fill="auto"/>
          </w:tcPr>
          <w:p w14:paraId="557458B1" w14:textId="77777777" w:rsidR="0014579D" w:rsidRPr="004017E2" w:rsidRDefault="0014579D" w:rsidP="0014579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10296" w:type="dxa"/>
            <w:gridSpan w:val="2"/>
            <w:shd w:val="clear" w:color="auto" w:fill="auto"/>
          </w:tcPr>
          <w:p w14:paraId="6B7B5F55" w14:textId="1F5BB222" w:rsidR="0014579D" w:rsidRPr="004017E2" w:rsidRDefault="00835B36" w:rsidP="00F531C2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Opis metodologije </w:t>
            </w:r>
            <w:r w:rsidRPr="004017E2">
              <w:rPr>
                <w:rFonts w:ascii="Times New Roman" w:eastAsia="Calibri" w:hAnsi="Times New Roman" w:cs="Times New Roman"/>
                <w:b/>
                <w:i/>
                <w:color w:val="000000"/>
                <w:sz w:val="24"/>
                <w:szCs w:val="24"/>
                <w:u w:val="single"/>
                <w:lang w:val="hr-HR" w:eastAsia="en-GB"/>
              </w:rPr>
              <w:t>administrativnih provjera</w:t>
            </w:r>
            <w:r w:rsidR="00C800A4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provedenih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u skladu s</w:t>
            </w:r>
            <w:r w:rsidR="00BB6D81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a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člankom</w:t>
            </w:r>
            <w:r w:rsidR="006827EA" w:rsidRPr="00401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hr-HR" w:eastAsia="en-GB"/>
              </w:rPr>
              <w:t xml:space="preserve"> 125</w:t>
            </w:r>
            <w:r w:rsidR="00BB6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hr-HR" w:eastAsia="en-GB"/>
              </w:rPr>
              <w:t xml:space="preserve"> </w:t>
            </w:r>
            <w:r w:rsidR="006827EA" w:rsidRPr="00401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hr-HR" w:eastAsia="en-GB"/>
              </w:rPr>
              <w:t>(5)</w:t>
            </w:r>
            <w:r w:rsidR="00BB6D81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hr-HR" w:eastAsia="en-GB"/>
              </w:rPr>
              <w:t xml:space="preserve"> </w:t>
            </w:r>
            <w:r w:rsidR="006827EA" w:rsidRPr="004017E2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hr-HR" w:eastAsia="en-GB"/>
              </w:rPr>
              <w:t xml:space="preserve">(a) 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 w:eastAsia="en-GB"/>
              </w:rPr>
              <w:t>Uredbe</w:t>
            </w:r>
            <w:r w:rsidR="006827E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 w:eastAsia="en-GB"/>
              </w:rPr>
              <w:t xml:space="preserve"> (EU)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 w:eastAsia="en-GB"/>
              </w:rPr>
              <w:t xml:space="preserve"> br.</w:t>
            </w:r>
            <w:r w:rsidR="006827E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 w:eastAsia="en-GB"/>
              </w:rPr>
              <w:t xml:space="preserve"> 1303/2013</w:t>
            </w:r>
            <w:r w:rsidR="0014579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:</w:t>
            </w:r>
          </w:p>
          <w:p w14:paraId="77052255" w14:textId="69019333" w:rsidR="00E2655D" w:rsidRPr="004017E2" w:rsidRDefault="00C800A4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PT2 provodi</w:t>
            </w:r>
            <w:r w:rsidR="00E2655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C83BFC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provjere</w:t>
            </w:r>
            <w:r w:rsidR="00E2655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upravljanja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, razlikujući pritom administrativne provjere i provjere na licu mjesta (PLM)</w:t>
            </w:r>
            <w:r w:rsidR="00104E5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.</w:t>
            </w:r>
            <w:r w:rsidR="00E2655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Osnovne administrativne provjere </w:t>
            </w:r>
            <w:r w:rsidR="00D20547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– provjere Zahtjeva za nadoknadom sredstava (ZNS) koje podnose korisnici provode se u 100%</w:t>
            </w:r>
            <w:r w:rsidR="00DB624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-</w:t>
            </w:r>
            <w:r w:rsidR="00D20547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tnom omjeru, tj. svaki ZNS je predmetom provjere, dok je popratna dokumentacija uz ZNS predmet uzorkovanja</w:t>
            </w:r>
            <w:r w:rsidR="00DB624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,</w:t>
            </w:r>
            <w:r w:rsidR="00D20547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temeljen na procjeni rizika. Metodologija uzorkovanja predviđa povećanje veličine uzorka </w:t>
            </w:r>
            <w:r w:rsidR="0017523B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u onim slučajevima </w:t>
            </w:r>
            <w:r w:rsidR="00D20547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kada se utvrde neprihvatljivi izdaci.    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14:paraId="1B030ACC" w14:textId="77777777" w:rsidR="006827EA" w:rsidRPr="004017E2" w:rsidRDefault="006827EA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&lt;</w:t>
            </w:r>
            <w:r w:rsidR="004C52AA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>Treba izmijeniti</w:t>
            </w:r>
            <w:r w:rsidR="00C60BCE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 xml:space="preserve"> / </w:t>
            </w:r>
            <w:r w:rsidR="004C52AA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>dopuniti</w:t>
            </w:r>
            <w:r w:rsidR="00CE4224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 xml:space="preserve">, </w:t>
            </w:r>
            <w:r w:rsidR="004C52AA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>ako je primjenjivo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&gt;</w:t>
            </w:r>
          </w:p>
        </w:tc>
      </w:tr>
      <w:tr w:rsidR="007A5F2B" w:rsidRPr="004017E2" w14:paraId="4E8FBA28" w14:textId="77777777" w:rsidTr="005B55E0">
        <w:tc>
          <w:tcPr>
            <w:tcW w:w="336" w:type="dxa"/>
            <w:vMerge w:val="restart"/>
            <w:shd w:val="clear" w:color="auto" w:fill="auto"/>
          </w:tcPr>
          <w:p w14:paraId="4FDE372A" w14:textId="77777777" w:rsidR="007A5F2B" w:rsidRPr="004017E2" w:rsidRDefault="001F75BF" w:rsidP="007A5F2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</w:t>
            </w:r>
          </w:p>
        </w:tc>
        <w:tc>
          <w:tcPr>
            <w:tcW w:w="5098" w:type="dxa"/>
            <w:shd w:val="clear" w:color="auto" w:fill="auto"/>
          </w:tcPr>
          <w:p w14:paraId="1AF71FA6" w14:textId="77777777" w:rsidR="007A5F2B" w:rsidRPr="004017E2" w:rsidRDefault="004C52AA">
            <w:pP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Glavni rezultati</w:t>
            </w:r>
            <w:r w:rsidR="007A5F2B"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</w:t>
            </w: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i vrste</w:t>
            </w:r>
            <w:r w:rsidR="006B0012"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utvrđenih</w:t>
            </w: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pogrešaka/nepravilnosti</w:t>
            </w:r>
          </w:p>
        </w:tc>
        <w:tc>
          <w:tcPr>
            <w:tcW w:w="5198" w:type="dxa"/>
            <w:shd w:val="clear" w:color="auto" w:fill="auto"/>
          </w:tcPr>
          <w:p w14:paraId="1585F188" w14:textId="2EBD4C1C" w:rsidR="007A5F2B" w:rsidRPr="004017E2" w:rsidRDefault="00FE5C2E" w:rsidP="00425D90">
            <w:pP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Doneseni zaključci i poduzete ili planirane korektivne mjere </w:t>
            </w:r>
            <w:r w:rsidR="007A5F2B"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</w:t>
            </w:r>
            <w:r w:rsidR="007A5F2B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[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ovisno o vrsti nepravilnosti</w:t>
            </w:r>
            <w:r w:rsidR="007A5F2B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,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425D90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tj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. pojedinačne </w:t>
            </w:r>
            <w:r w:rsidR="00C83BFC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ili sustavne</w:t>
            </w:r>
            <w:r w:rsidR="007A5F2B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]</w:t>
            </w:r>
          </w:p>
        </w:tc>
      </w:tr>
      <w:tr w:rsidR="007A5F2B" w:rsidRPr="004017E2" w14:paraId="4E8CD9A1" w14:textId="77777777" w:rsidTr="005B55E0">
        <w:tc>
          <w:tcPr>
            <w:tcW w:w="336" w:type="dxa"/>
            <w:vMerge/>
            <w:shd w:val="clear" w:color="auto" w:fill="auto"/>
          </w:tcPr>
          <w:p w14:paraId="7AE582DE" w14:textId="77777777" w:rsidR="007A5F2B" w:rsidRPr="004017E2" w:rsidRDefault="007A5F2B" w:rsidP="007A5F2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5098" w:type="dxa"/>
            <w:shd w:val="clear" w:color="auto" w:fill="auto"/>
          </w:tcPr>
          <w:p w14:paraId="51DA85E5" w14:textId="77777777" w:rsidR="007A5F2B" w:rsidRPr="004017E2" w:rsidRDefault="007A5F2B" w:rsidP="00E053E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(1)</w:t>
            </w:r>
          </w:p>
        </w:tc>
        <w:tc>
          <w:tcPr>
            <w:tcW w:w="5198" w:type="dxa"/>
            <w:shd w:val="clear" w:color="auto" w:fill="auto"/>
          </w:tcPr>
          <w:p w14:paraId="474F76C9" w14:textId="77777777" w:rsidR="007A5F2B" w:rsidRPr="004017E2" w:rsidRDefault="007A5F2B" w:rsidP="00E053EF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(2)</w:t>
            </w:r>
          </w:p>
        </w:tc>
      </w:tr>
      <w:tr w:rsidR="007A5F2B" w:rsidRPr="004017E2" w14:paraId="04D7916C" w14:textId="77777777" w:rsidTr="005B55E0">
        <w:tc>
          <w:tcPr>
            <w:tcW w:w="5434" w:type="dxa"/>
            <w:gridSpan w:val="2"/>
            <w:shd w:val="clear" w:color="auto" w:fill="auto"/>
          </w:tcPr>
          <w:p w14:paraId="0C85E2D0" w14:textId="77777777" w:rsidR="00E053EF" w:rsidRPr="004017E2" w:rsidRDefault="00FE5C2E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Javna nabava</w:t>
            </w:r>
          </w:p>
          <w:p w14:paraId="075AF991" w14:textId="77777777" w:rsidR="00E053EF" w:rsidRPr="004017E2" w:rsidRDefault="0093491D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Državne potpore</w:t>
            </w:r>
          </w:p>
          <w:p w14:paraId="4824E566" w14:textId="77777777" w:rsidR="00E053EF" w:rsidRPr="004017E2" w:rsidRDefault="00FE5C2E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Operacije koje ostvaruju prihod</w:t>
            </w:r>
          </w:p>
          <w:p w14:paraId="4A815CF6" w14:textId="77777777" w:rsidR="00E053EF" w:rsidRPr="004017E2" w:rsidRDefault="00E053EF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Finan</w:t>
            </w:r>
            <w:r w:rsidR="00FE5C2E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cijski instrumenti</w:t>
            </w:r>
          </w:p>
          <w:p w14:paraId="5FD81A37" w14:textId="77777777" w:rsidR="00E053EF" w:rsidRPr="004017E2" w:rsidRDefault="00FE5C2E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Dobro financijsko upravljanje</w:t>
            </w:r>
            <w:r w:rsidR="00E053EF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ekonomičnost, djelotvornost i učinkovitost, uključujući postizanje indikatora)</w:t>
            </w:r>
            <w:r w:rsidR="00E053EF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14:paraId="00728973" w14:textId="77777777" w:rsidR="00E053EF" w:rsidRPr="004017E2" w:rsidRDefault="00FE5C2E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Neprihvatljivi izdatak</w:t>
            </w:r>
          </w:p>
          <w:p w14:paraId="450FAF9C" w14:textId="77777777" w:rsidR="00E053EF" w:rsidRPr="004017E2" w:rsidRDefault="00FE5C2E" w:rsidP="00E053EF">
            <w:pPr>
              <w:numPr>
                <w:ilvl w:val="2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prekoračenje proračunskih</w:t>
            </w:r>
            <w:r w:rsidR="00C83BFC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kategorija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14:paraId="05D0BB4F" w14:textId="77777777" w:rsidR="00E053EF" w:rsidRPr="004017E2" w:rsidRDefault="00C83BFC" w:rsidP="00E053EF">
            <w:pPr>
              <w:numPr>
                <w:ilvl w:val="2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izdaci koji nisu predviđeni</w:t>
            </w:r>
            <w:r w:rsidR="00E053EF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ugovorom o dodjeli bespovratnih sredstava</w:t>
            </w:r>
          </w:p>
          <w:p w14:paraId="33AE7727" w14:textId="48E533AA" w:rsidR="00E053EF" w:rsidRPr="004017E2" w:rsidRDefault="00C83BFC" w:rsidP="00E053EF">
            <w:pPr>
              <w:numPr>
                <w:ilvl w:val="2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nepravilan/</w:t>
            </w:r>
            <w:r w:rsidR="00061277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nezakonit 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izdatak</w:t>
            </w:r>
          </w:p>
          <w:p w14:paraId="471DE883" w14:textId="77777777" w:rsidR="00E053EF" w:rsidRPr="004017E2" w:rsidRDefault="00C83BFC" w:rsidP="00E053EF">
            <w:pPr>
              <w:numPr>
                <w:ilvl w:val="2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ostali neprihvatljivi izdaci</w:t>
            </w:r>
          </w:p>
          <w:p w14:paraId="616DBF28" w14:textId="77777777" w:rsidR="001F75BF" w:rsidRPr="004017E2" w:rsidRDefault="00C83BFC" w:rsidP="001F75B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Revizorski trag</w:t>
            </w:r>
            <w:r w:rsidR="001F75BF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14:paraId="4A4B4C01" w14:textId="1C4277B6" w:rsidR="001F75BF" w:rsidRPr="004017E2" w:rsidRDefault="00C83BFC" w:rsidP="001F75B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Trajnost</w:t>
            </w:r>
            <w:r w:rsidR="0093491D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/održivost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operacija</w:t>
            </w:r>
          </w:p>
          <w:p w14:paraId="45AFA079" w14:textId="77777777" w:rsidR="007A5F2B" w:rsidRPr="004017E2" w:rsidRDefault="00C83BFC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Neprihvatljivi projekti</w:t>
            </w:r>
          </w:p>
          <w:p w14:paraId="7DAC2130" w14:textId="3AE53CC3" w:rsidR="007A5F2B" w:rsidRPr="004017E2" w:rsidRDefault="00C83BFC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Pouzdanost podataka i </w:t>
            </w:r>
            <w:r w:rsidR="002F0A9B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pokazatelja</w:t>
            </w:r>
          </w:p>
          <w:p w14:paraId="4F822978" w14:textId="18BF410F" w:rsidR="007A5F2B" w:rsidRPr="004017E2" w:rsidRDefault="008E7120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Mjere i</w:t>
            </w:r>
            <w:r w:rsidR="00C83BFC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nformiranj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</w:t>
            </w:r>
            <w:r w:rsidR="00C83BFC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93491D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  <w:r w:rsidR="00C83BFC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vidljivosti</w:t>
            </w:r>
          </w:p>
          <w:p w14:paraId="4F7DC453" w14:textId="7CF6334B" w:rsidR="007A5F2B" w:rsidRPr="004017E2" w:rsidRDefault="00303D6E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Pravila </w:t>
            </w:r>
            <w:r w:rsidR="00296CD5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 pogledu </w:t>
            </w:r>
            <w:r w:rsidR="00C83BFC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zaštit</w:t>
            </w:r>
            <w:r w:rsidR="00296CD5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</w:t>
            </w:r>
            <w:r w:rsidR="00C83BFC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okoliša</w:t>
            </w:r>
          </w:p>
          <w:p w14:paraId="26E174ED" w14:textId="77777777" w:rsidR="007A5F2B" w:rsidRPr="004017E2" w:rsidRDefault="00C83BFC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Pojednostavljene mogućnosti financiranja</w:t>
            </w:r>
          </w:p>
          <w:p w14:paraId="324F7A98" w14:textId="22EC166B" w:rsidR="007A5F2B" w:rsidRPr="004017E2" w:rsidRDefault="00C83BFC" w:rsidP="00E053EF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Jednakost spolova</w:t>
            </w:r>
            <w:r w:rsidR="00971394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između muškaraca </w:t>
            </w:r>
            <w:r w:rsidR="00971394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žena, jednake mogućnosti</w:t>
            </w:r>
          </w:p>
          <w:p w14:paraId="2E1EF289" w14:textId="1E4CAA94" w:rsidR="007A5F2B" w:rsidRPr="004017E2" w:rsidRDefault="00A616B7" w:rsidP="00532DFE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Nediskriminacija</w:t>
            </w:r>
          </w:p>
        </w:tc>
        <w:tc>
          <w:tcPr>
            <w:tcW w:w="5198" w:type="dxa"/>
            <w:shd w:val="clear" w:color="auto" w:fill="auto"/>
          </w:tcPr>
          <w:p w14:paraId="744B3906" w14:textId="77777777" w:rsidR="007A5F2B" w:rsidRPr="004017E2" w:rsidRDefault="007A5F2B" w:rsidP="007A5F2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5CF2819F" w14:textId="77777777" w:rsidR="00D20547" w:rsidRPr="004017E2" w:rsidRDefault="00D20547" w:rsidP="001F75BF">
      <w:pPr>
        <w:spacing w:before="120" w:after="200" w:line="276" w:lineRule="auto"/>
        <w:jc w:val="both"/>
        <w:rPr>
          <w:rFonts w:ascii="Times New Roman" w:eastAsia="Times New Roman" w:hAnsi="Times New Roman" w:cs="Times New Roman"/>
          <w:color w:val="44546A" w:themeColor="text2"/>
          <w:sz w:val="24"/>
          <w:szCs w:val="24"/>
          <w:lang w:val="hr-HR"/>
        </w:rPr>
      </w:pPr>
    </w:p>
    <w:p w14:paraId="5E63A31A" w14:textId="4A6FBDCE" w:rsidR="001F75BF" w:rsidRPr="004017E2" w:rsidRDefault="001F75BF" w:rsidP="001F75BF">
      <w:pPr>
        <w:spacing w:before="120" w:after="200" w:line="276" w:lineRule="auto"/>
        <w:jc w:val="both"/>
        <w:rPr>
          <w:rFonts w:ascii="Times New Roman" w:eastAsia="Calibri" w:hAnsi="Times New Roman" w:cs="Times New Roman"/>
          <w:color w:val="44546A" w:themeColor="text2"/>
          <w:sz w:val="24"/>
          <w:szCs w:val="24"/>
          <w:u w:val="single"/>
          <w:lang w:val="hr-HR" w:eastAsia="en-GB"/>
        </w:rPr>
      </w:pP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lang w:val="hr-HR"/>
        </w:rPr>
        <w:t xml:space="preserve">C) </w:t>
      </w:r>
      <w:r w:rsidR="006A6986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lang w:val="hr-HR"/>
        </w:rPr>
        <w:t xml:space="preserve">Sažetak </w:t>
      </w:r>
      <w:r w:rsidR="006A6986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lang w:val="hr-HR"/>
        </w:rPr>
        <w:t>provjera na licu mjesta (PLM</w:t>
      </w:r>
      <w:r w:rsidR="006A6986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lang w:val="hr-HR"/>
        </w:rPr>
        <w:t xml:space="preserve">) </w:t>
      </w:r>
      <w:r w:rsidR="00716CC6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provedenih nad izdacima povezani</w:t>
      </w:r>
      <w:r w:rsidR="00AB5526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ma</w:t>
      </w:r>
      <w:r w:rsidR="00716CC6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s računovodstvenom godinom koja je završila</w:t>
      </w:r>
      <w:r w:rsidR="006A6986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lang w:val="hr-HR"/>
        </w:rPr>
        <w:t xml:space="preserve"> 30. lipnja … (</w:t>
      </w:r>
      <w:r w:rsidR="00497569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lang w:val="hr-HR"/>
        </w:rPr>
        <w:t>godina</w:t>
      </w:r>
      <w:r w:rsidR="006A6986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lang w:val="hr-HR"/>
        </w:rPr>
        <w:t>)</w:t>
      </w:r>
    </w:p>
    <w:p w14:paraId="2F74FD54" w14:textId="77777777" w:rsidR="007A5F2B" w:rsidRPr="004017E2" w:rsidRDefault="007A5F2B" w:rsidP="007A5F2B">
      <w:pPr>
        <w:jc w:val="right"/>
        <w:rPr>
          <w:rFonts w:ascii="Times New Roman" w:hAnsi="Times New Roman" w:cs="Times New Roman"/>
          <w:b/>
          <w:color w:val="44546A" w:themeColor="text2"/>
          <w:sz w:val="24"/>
          <w:szCs w:val="24"/>
          <w:u w:val="single"/>
          <w:lang w:val="hr-HR"/>
        </w:rPr>
      </w:pPr>
      <w:r w:rsidRPr="004017E2">
        <w:rPr>
          <w:rFonts w:ascii="Times New Roman" w:hAnsi="Times New Roman" w:cs="Times New Roman"/>
          <w:b/>
          <w:color w:val="44546A" w:themeColor="text2"/>
          <w:sz w:val="24"/>
          <w:szCs w:val="24"/>
          <w:u w:val="single"/>
          <w:lang w:val="hr-HR"/>
        </w:rPr>
        <w:t>Tabl</w:t>
      </w:r>
      <w:r w:rsidR="000E1D04" w:rsidRPr="004017E2">
        <w:rPr>
          <w:rFonts w:ascii="Times New Roman" w:hAnsi="Times New Roman" w:cs="Times New Roman"/>
          <w:b/>
          <w:color w:val="44546A" w:themeColor="text2"/>
          <w:sz w:val="24"/>
          <w:szCs w:val="24"/>
          <w:u w:val="single"/>
          <w:lang w:val="hr-HR"/>
        </w:rPr>
        <w:t>ica</w:t>
      </w:r>
      <w:r w:rsidRPr="004017E2">
        <w:rPr>
          <w:rFonts w:ascii="Times New Roman" w:hAnsi="Times New Roman" w:cs="Times New Roman"/>
          <w:b/>
          <w:color w:val="44546A" w:themeColor="text2"/>
          <w:sz w:val="24"/>
          <w:szCs w:val="24"/>
          <w:u w:val="single"/>
          <w:lang w:val="hr-HR"/>
        </w:rPr>
        <w:t xml:space="preserve"> 3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4962"/>
        <w:gridCol w:w="5245"/>
      </w:tblGrid>
      <w:tr w:rsidR="006827EA" w:rsidRPr="004017E2" w14:paraId="3BCA672B" w14:textId="77777777" w:rsidTr="005B55E0">
        <w:tc>
          <w:tcPr>
            <w:tcW w:w="425" w:type="dxa"/>
            <w:shd w:val="clear" w:color="auto" w:fill="auto"/>
          </w:tcPr>
          <w:p w14:paraId="36275409" w14:textId="77777777" w:rsidR="006827EA" w:rsidRPr="004017E2" w:rsidRDefault="001F75BF" w:rsidP="0014579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1</w:t>
            </w:r>
          </w:p>
        </w:tc>
        <w:tc>
          <w:tcPr>
            <w:tcW w:w="10207" w:type="dxa"/>
            <w:gridSpan w:val="2"/>
            <w:shd w:val="clear" w:color="auto" w:fill="auto"/>
          </w:tcPr>
          <w:p w14:paraId="1DCFB2EA" w14:textId="77777777" w:rsidR="007F41BA" w:rsidRPr="004017E2" w:rsidRDefault="001F75BF" w:rsidP="00F531C2">
            <w:pPr>
              <w:spacing w:before="120" w:after="12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1</w:t>
            </w:r>
            <w:r w:rsidR="00E60429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.1. </w:t>
            </w:r>
            <w:r w:rsidR="007F41B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&lt;</w:t>
            </w:r>
            <w:r w:rsidR="006A6986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 xml:space="preserve">Broj </w:t>
            </w:r>
            <w:r w:rsidR="006A6986" w:rsidRPr="004017E2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u w:val="single"/>
                <w:lang w:val="hr-HR"/>
              </w:rPr>
              <w:t>provjera na licu mjesta (PLM)</w:t>
            </w:r>
            <w:r w:rsidR="006A6986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 xml:space="preserve"> provedenih sukladno članku</w:t>
            </w:r>
            <w:r w:rsidR="007F41B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125(5)(b) </w:t>
            </w:r>
            <w:r w:rsidR="006A6986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Uredbe </w:t>
            </w:r>
            <w:r w:rsidR="007F41B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(EU) </w:t>
            </w:r>
            <w:r w:rsidR="006A6986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br.</w:t>
            </w:r>
            <w:r w:rsidR="007F41B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1303/2013</w:t>
            </w:r>
            <w:r w:rsidR="007F41BA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>&gt;</w:t>
            </w:r>
          </w:p>
          <w:p w14:paraId="440F8616" w14:textId="77777777" w:rsidR="006827EA" w:rsidRPr="004017E2" w:rsidRDefault="001F75BF" w:rsidP="00F531C2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1</w:t>
            </w:r>
            <w:r w:rsidR="00E60429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.2. </w:t>
            </w:r>
            <w:r w:rsidR="006A6986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Opis metodologije koja se primjenjuje na </w:t>
            </w:r>
            <w:r w:rsidR="006A6986" w:rsidRPr="004017E2"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  <w:lang w:val="hr-HR"/>
              </w:rPr>
              <w:t>PLM</w:t>
            </w:r>
            <w:r w:rsidR="006A6986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6827EA" w:rsidRPr="004017E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hr-HR"/>
              </w:rPr>
              <w:t>:</w:t>
            </w:r>
          </w:p>
          <w:p w14:paraId="2297D3FC" w14:textId="302BF6DF" w:rsidR="00970094" w:rsidRPr="004017E2" w:rsidRDefault="006A6986" w:rsidP="00104E5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Svrha PLM je potvrditi 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val="hr-HR"/>
              </w:rPr>
              <w:t>i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upotpuniti rezultate administrativnih provjera</w:t>
            </w:r>
            <w:r w:rsidR="00104E5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.</w:t>
            </w:r>
            <w:r w:rsidR="000E1D04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PLM potvrđuje istinitost računovodstvenih unosa na službenim računima korisnika, provjerava </w:t>
            </w:r>
            <w:r w:rsidR="003C4195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stvarnost  </w:t>
            </w:r>
            <w:r w:rsidR="000E1D04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operacije, fizički napredak, poštivanje mjera vidljivosti, istovjetnost isporučenih proizvoda ili usluga s uvjetima i odredbama ugovornog sporazuma</w:t>
            </w:r>
            <w:r w:rsidR="008D4D5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, te pruža priliku da se provjeri popratna dokumentacija koju nije moguće u 100% omjeru provjeriti u administrativnoj provjeri, npr</w:t>
            </w:r>
            <w:r w:rsidR="005B79E5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. potpuni dosje postupka nadmetanja</w:t>
            </w:r>
            <w:r w:rsidR="00A53F3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, ponude pristigle na nadmetanje, izvješć</w:t>
            </w:r>
            <w:r w:rsidR="00F8734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a</w:t>
            </w:r>
            <w:r w:rsidR="00970094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o ocjenjivanju ponuda</w:t>
            </w:r>
            <w:r w:rsidR="008D4D5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.</w:t>
            </w:r>
            <w:r w:rsidR="000E1D04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 </w:t>
            </w: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CE4224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14:paraId="35AC23CB" w14:textId="21AA97EA" w:rsidR="00A53F3A" w:rsidRPr="004017E2" w:rsidRDefault="00970094" w:rsidP="00AE011D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Uzorkovanje </w:t>
            </w:r>
            <w:r w:rsidR="00B10F7C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PLM-a provodi PT2 te učestalost, kao i opseg provjere </w:t>
            </w:r>
            <w:r w:rsidR="0015084F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ovise o (1) razini rizičnosti</w:t>
            </w:r>
            <w:r w:rsidR="00B10F7C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0A1927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projekta, koju definira</w:t>
            </w:r>
            <w:r w:rsidR="00A53F3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nadležni PT2, (2) </w:t>
            </w:r>
            <w:r w:rsidR="0011412D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proračunu projekta</w:t>
            </w:r>
            <w:r w:rsidR="00A53F3A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, (3) intenzitetu potpore, (4) nalazima iz revizija operacija i (5) kvaliteti zahtjeva za nadoknadom koje predaje korisnik.</w:t>
            </w:r>
            <w:r w:rsidR="000A1927"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  <w:p w14:paraId="27E5F3E5" w14:textId="24B45EB2" w:rsidR="006827EA" w:rsidRPr="004017E2" w:rsidRDefault="00CE4224" w:rsidP="00910ED9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>&lt;</w:t>
            </w:r>
            <w:r w:rsidR="00A53F3A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>Treba izmijeniti / dopuniti, ako je primjenjivo</w:t>
            </w:r>
            <w:r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>&gt;</w:t>
            </w:r>
            <w:r w:rsidR="00E5643E" w:rsidRPr="004017E2">
              <w:rPr>
                <w:rFonts w:ascii="Times New Roman" w:eastAsia="Calibri" w:hAnsi="Times New Roman" w:cs="Times New Roman"/>
                <w:i/>
                <w:sz w:val="24"/>
                <w:szCs w:val="24"/>
                <w:lang w:val="hr-HR"/>
              </w:rPr>
              <w:t xml:space="preserve"> </w:t>
            </w:r>
          </w:p>
        </w:tc>
      </w:tr>
      <w:tr w:rsidR="00E5643E" w:rsidRPr="004017E2" w14:paraId="2862A2BA" w14:textId="77777777" w:rsidTr="005B55E0">
        <w:tc>
          <w:tcPr>
            <w:tcW w:w="425" w:type="dxa"/>
            <w:vMerge w:val="restart"/>
            <w:shd w:val="clear" w:color="auto" w:fill="auto"/>
          </w:tcPr>
          <w:p w14:paraId="5EE4A154" w14:textId="77777777" w:rsidR="00E5643E" w:rsidRPr="004017E2" w:rsidRDefault="004C31F5" w:rsidP="0014579D">
            <w:pPr>
              <w:spacing w:before="120" w:after="12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lastRenderedPageBreak/>
              <w:t>2</w:t>
            </w:r>
          </w:p>
        </w:tc>
        <w:tc>
          <w:tcPr>
            <w:tcW w:w="4962" w:type="dxa"/>
            <w:shd w:val="clear" w:color="auto" w:fill="auto"/>
          </w:tcPr>
          <w:p w14:paraId="040E0303" w14:textId="77777777" w:rsidR="00E5643E" w:rsidRPr="004017E2" w:rsidRDefault="00970094" w:rsidP="00AE011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Glavni rezultati i vrste </w:t>
            </w:r>
            <w:r w:rsidR="006B0012"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utvrđenih </w:t>
            </w: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pogrešaka/n</w:t>
            </w:r>
            <w:r w:rsidR="006B0012"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epravilnosti</w:t>
            </w:r>
            <w:r w:rsidRPr="004017E2"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14:paraId="2896485B" w14:textId="77777777" w:rsidR="00E5643E" w:rsidRPr="004017E2" w:rsidRDefault="00970094" w:rsidP="00AE011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Doneseni zaključci i poduzete ili planirane korektivne mjere  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[ovisno o vrsti nepravilnosti, npr. pojedinačne ili sustavne]</w:t>
            </w:r>
          </w:p>
        </w:tc>
      </w:tr>
      <w:tr w:rsidR="00E5643E" w:rsidRPr="004017E2" w14:paraId="28BD12C6" w14:textId="77777777" w:rsidTr="005B55E0">
        <w:tc>
          <w:tcPr>
            <w:tcW w:w="425" w:type="dxa"/>
            <w:vMerge/>
            <w:shd w:val="clear" w:color="auto" w:fill="auto"/>
          </w:tcPr>
          <w:p w14:paraId="6B0980FA" w14:textId="77777777" w:rsidR="00E5643E" w:rsidRPr="004017E2" w:rsidRDefault="00E5643E" w:rsidP="00B3395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4962" w:type="dxa"/>
            <w:shd w:val="clear" w:color="auto" w:fill="auto"/>
          </w:tcPr>
          <w:p w14:paraId="66A5D4A1" w14:textId="77777777" w:rsidR="00E5643E" w:rsidRPr="004017E2" w:rsidRDefault="00E5643E" w:rsidP="00B33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(1)</w:t>
            </w:r>
          </w:p>
        </w:tc>
        <w:tc>
          <w:tcPr>
            <w:tcW w:w="5245" w:type="dxa"/>
            <w:shd w:val="clear" w:color="auto" w:fill="auto"/>
          </w:tcPr>
          <w:p w14:paraId="02DB0E37" w14:textId="77777777" w:rsidR="00E5643E" w:rsidRPr="004017E2" w:rsidRDefault="00E5643E" w:rsidP="00B339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(2)</w:t>
            </w:r>
          </w:p>
        </w:tc>
      </w:tr>
      <w:tr w:rsidR="00BE17DB" w:rsidRPr="004017E2" w14:paraId="491335CE" w14:textId="77777777" w:rsidTr="005B55E0">
        <w:tc>
          <w:tcPr>
            <w:tcW w:w="5387" w:type="dxa"/>
            <w:gridSpan w:val="2"/>
            <w:shd w:val="clear" w:color="auto" w:fill="auto"/>
          </w:tcPr>
          <w:p w14:paraId="7885F1A6" w14:textId="77777777" w:rsidR="00970094" w:rsidRPr="004017E2" w:rsidRDefault="00970094" w:rsidP="00970094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Javna nabava</w:t>
            </w:r>
          </w:p>
          <w:p w14:paraId="4594553B" w14:textId="77777777" w:rsidR="00970094" w:rsidRPr="004017E2" w:rsidRDefault="00970094" w:rsidP="00970094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Državne potpore</w:t>
            </w:r>
          </w:p>
          <w:p w14:paraId="66968FDF" w14:textId="77777777" w:rsidR="00970094" w:rsidRPr="004017E2" w:rsidRDefault="00970094" w:rsidP="00970094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Operacije koje ostvaruju prihod</w:t>
            </w:r>
          </w:p>
          <w:p w14:paraId="391A5D3E" w14:textId="77777777" w:rsidR="00970094" w:rsidRPr="004017E2" w:rsidRDefault="00970094" w:rsidP="00970094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Financijski instrumenti</w:t>
            </w:r>
          </w:p>
          <w:p w14:paraId="4377D755" w14:textId="77777777" w:rsidR="00970094" w:rsidRPr="004017E2" w:rsidRDefault="00970094" w:rsidP="00970094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Dobro financijsko upravljanje (ekonomičnost, djelotvornost i učinkovitost, uključujući postizanje indikatora) </w:t>
            </w:r>
          </w:p>
          <w:p w14:paraId="678CC07A" w14:textId="77777777" w:rsidR="00970094" w:rsidRPr="004017E2" w:rsidRDefault="00970094" w:rsidP="00970094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Neprihvatljivi izdatak</w:t>
            </w:r>
          </w:p>
          <w:p w14:paraId="1DC0F80A" w14:textId="77777777" w:rsidR="00970094" w:rsidRPr="004017E2" w:rsidRDefault="00970094" w:rsidP="00970094">
            <w:pPr>
              <w:numPr>
                <w:ilvl w:val="2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prekoračenje proračunskih kategorija </w:t>
            </w:r>
          </w:p>
          <w:p w14:paraId="0EF86ACE" w14:textId="77777777" w:rsidR="00970094" w:rsidRPr="004017E2" w:rsidRDefault="00970094" w:rsidP="00970094">
            <w:pPr>
              <w:numPr>
                <w:ilvl w:val="2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izdaci koji nisu predviđeni ugovorom o dodjeli bespovratnih sredstava</w:t>
            </w:r>
          </w:p>
          <w:p w14:paraId="6B262C23" w14:textId="2892A9C0" w:rsidR="00970094" w:rsidRPr="004017E2" w:rsidRDefault="00970094" w:rsidP="00970094">
            <w:pPr>
              <w:numPr>
                <w:ilvl w:val="2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nepravilan/</w:t>
            </w:r>
            <w:r w:rsidR="00B23BE9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nezakonit 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izdatak</w:t>
            </w:r>
          </w:p>
          <w:p w14:paraId="3278299C" w14:textId="77777777" w:rsidR="00970094" w:rsidRPr="004017E2" w:rsidRDefault="00970094" w:rsidP="00970094">
            <w:pPr>
              <w:numPr>
                <w:ilvl w:val="2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ostali neprihvatljivi izdaci</w:t>
            </w:r>
          </w:p>
          <w:p w14:paraId="46E118EB" w14:textId="77777777" w:rsidR="00970094" w:rsidRPr="004017E2" w:rsidRDefault="00970094" w:rsidP="00970094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Revizorski trag </w:t>
            </w:r>
          </w:p>
          <w:p w14:paraId="4485C1A4" w14:textId="3CF73D96" w:rsidR="00970094" w:rsidRPr="004017E2" w:rsidRDefault="00970094" w:rsidP="00970094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Trajnost/održivost operacija</w:t>
            </w:r>
          </w:p>
          <w:p w14:paraId="5A629B5A" w14:textId="77777777" w:rsidR="00970094" w:rsidRPr="004017E2" w:rsidRDefault="00970094" w:rsidP="00970094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Neprihvatljivi projekti</w:t>
            </w:r>
          </w:p>
          <w:p w14:paraId="6BC37D10" w14:textId="77777777" w:rsidR="002F0A9B" w:rsidRPr="004017E2" w:rsidRDefault="002F0A9B" w:rsidP="002F0A9B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Pouzdanost podataka i pokazatelja</w:t>
            </w:r>
          </w:p>
          <w:p w14:paraId="45A1C8F2" w14:textId="77777777" w:rsidR="002F0A9B" w:rsidRPr="004017E2" w:rsidRDefault="002F0A9B" w:rsidP="002F0A9B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Mjere informiranja i vidljivosti</w:t>
            </w:r>
          </w:p>
          <w:p w14:paraId="6AA6C8BF" w14:textId="77777777" w:rsidR="002F0A9B" w:rsidRPr="004017E2" w:rsidRDefault="002F0A9B" w:rsidP="002F0A9B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Pravila u pogledu zaštite okoliša</w:t>
            </w:r>
          </w:p>
          <w:p w14:paraId="75567E72" w14:textId="77777777" w:rsidR="00970094" w:rsidRPr="004017E2" w:rsidRDefault="00970094" w:rsidP="002F0A9B">
            <w:pPr>
              <w:numPr>
                <w:ilvl w:val="0"/>
                <w:numId w:val="5"/>
              </w:numPr>
              <w:spacing w:after="0" w:line="240" w:lineRule="auto"/>
              <w:ind w:left="714" w:hanging="35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Pojednostavljene mogućnosti financiranja</w:t>
            </w:r>
          </w:p>
          <w:p w14:paraId="6050D6DF" w14:textId="7E440A89" w:rsidR="00F531C2" w:rsidRPr="004017E2" w:rsidRDefault="00970094" w:rsidP="008D73FB">
            <w:pPr>
              <w:pStyle w:val="ListParagraph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Jednakost spolova/između muškaraca </w:t>
            </w:r>
            <w:r w:rsidR="008D73FB"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žena, jednake mogućnosti</w:t>
            </w:r>
          </w:p>
          <w:p w14:paraId="123DBEEC" w14:textId="185014B0" w:rsidR="00A616B7" w:rsidRPr="004017E2" w:rsidRDefault="00A616B7" w:rsidP="008D73FB">
            <w:pPr>
              <w:pStyle w:val="ListParagraph"/>
              <w:numPr>
                <w:ilvl w:val="0"/>
                <w:numId w:val="5"/>
              </w:numPr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Nediskriminacija</w:t>
            </w:r>
          </w:p>
        </w:tc>
        <w:tc>
          <w:tcPr>
            <w:tcW w:w="5245" w:type="dxa"/>
            <w:shd w:val="clear" w:color="auto" w:fill="auto"/>
          </w:tcPr>
          <w:p w14:paraId="65D21F9A" w14:textId="77777777" w:rsidR="00BE17DB" w:rsidRPr="004017E2" w:rsidRDefault="00BE17DB" w:rsidP="00F531C2">
            <w:pPr>
              <w:spacing w:before="120" w:after="12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08879525" w14:textId="77777777" w:rsidR="00BF65E7" w:rsidRPr="004017E2" w:rsidRDefault="00BF65E7" w:rsidP="004F5E22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</w:p>
    <w:p w14:paraId="0854C7FC" w14:textId="77777777" w:rsidR="00BB6D81" w:rsidRDefault="00BB6D81" w:rsidP="004F5E22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</w:p>
    <w:p w14:paraId="08A16AAA" w14:textId="77777777" w:rsidR="00BB6D81" w:rsidRDefault="00BB6D81" w:rsidP="004F5E22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</w:p>
    <w:p w14:paraId="29F42D32" w14:textId="77777777" w:rsidR="00BB6D81" w:rsidRDefault="00BB6D81" w:rsidP="004F5E22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</w:p>
    <w:p w14:paraId="0107ED90" w14:textId="77777777" w:rsidR="00BB6D81" w:rsidRDefault="00BB6D81" w:rsidP="004F5E22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</w:p>
    <w:p w14:paraId="0103F808" w14:textId="33414F36" w:rsidR="00433D95" w:rsidRPr="004017E2" w:rsidRDefault="004C31F5" w:rsidP="004F5E22">
      <w:pPr>
        <w:spacing w:before="360" w:after="0" w:line="240" w:lineRule="auto"/>
        <w:jc w:val="both"/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lastRenderedPageBreak/>
        <w:t>D</w:t>
      </w:r>
      <w:r w:rsidR="006E1D6F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) </w:t>
      </w:r>
      <w:r w:rsidR="00D91967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Sažetak </w:t>
      </w:r>
      <w:r w:rsidR="00D91967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kontrola Upravljačkog tijela povezanih s nadzorom delegiranih funkcija</w:t>
      </w:r>
      <w:r w:rsidR="00D91967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u skladu s</w:t>
      </w:r>
      <w:r w:rsidR="00BB6D81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a</w:t>
      </w:r>
      <w:r w:rsidR="00D91967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člankom 123(6) i člankom 1(ii) Dodatka XIII Uredbe (EU) br. 1303/2015</w:t>
      </w:r>
      <w:r w:rsidR="003F4BD3" w:rsidRPr="004017E2">
        <w:rPr>
          <w:rStyle w:val="FootnoteReference"/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footnoteReference w:id="3"/>
      </w:r>
    </w:p>
    <w:p w14:paraId="104EF65E" w14:textId="77777777" w:rsidR="005111F1" w:rsidRPr="004017E2" w:rsidRDefault="007A5F2B" w:rsidP="005111F1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Tabl</w:t>
      </w:r>
      <w:r w:rsidR="00D91967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ica</w:t>
      </w: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4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"/>
        <w:gridCol w:w="5084"/>
        <w:gridCol w:w="5212"/>
      </w:tblGrid>
      <w:tr w:rsidR="000634C4" w:rsidRPr="004017E2" w14:paraId="13586B06" w14:textId="77777777" w:rsidTr="005B55E0">
        <w:tc>
          <w:tcPr>
            <w:tcW w:w="10632" w:type="dxa"/>
            <w:gridSpan w:val="3"/>
            <w:shd w:val="clear" w:color="auto" w:fill="auto"/>
          </w:tcPr>
          <w:p w14:paraId="404E351D" w14:textId="484DD9E7" w:rsidR="000634C4" w:rsidRPr="004017E2" w:rsidRDefault="00D91967" w:rsidP="00830B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Kontrole UT-a osmišljene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su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kako bi osigurale uravnotežen omjer 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ante </w:t>
            </w:r>
            <w:r w:rsidR="004B20D0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i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post </w:t>
            </w:r>
            <w:r w:rsidR="003F223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kontrolnih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radnji. </w:t>
            </w: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Ex</w:t>
            </w:r>
            <w:r w:rsidR="00AB5526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 xml:space="preserve">ante </w:t>
            </w:r>
            <w:r w:rsidR="004B20D0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 xml:space="preserve">provjere </w:t>
            </w:r>
            <w:r w:rsidR="00830B5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nameću kontrole nad rezultatima</w:t>
            </w:r>
            <w:r w:rsidR="004B20D0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posredničkih tijela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4B20D0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prije nego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što</w:t>
            </w:r>
            <w:r w:rsidR="004B20D0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su relevantni procesi započeti, dok 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4B20D0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post </w:t>
            </w:r>
            <w:r w:rsidR="003F223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ili </w:t>
            </w:r>
            <w:r w:rsidR="003F2231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provjere na razini sustava</w:t>
            </w:r>
            <w:r w:rsidR="003F223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3F2231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(PRS)</w:t>
            </w:r>
            <w:r w:rsidR="003F223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osiguravaju da su sustavi upravljanja i kontrole u 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posredničkim tijelima</w:t>
            </w:r>
            <w:r w:rsidR="003F223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pouzdani i da jamče točnost i zakonitost izdataka.</w:t>
            </w:r>
          </w:p>
        </w:tc>
      </w:tr>
      <w:tr w:rsidR="000634C4" w:rsidRPr="004017E2" w14:paraId="20636B86" w14:textId="77777777" w:rsidTr="005B55E0">
        <w:tc>
          <w:tcPr>
            <w:tcW w:w="336" w:type="dxa"/>
            <w:shd w:val="clear" w:color="auto" w:fill="auto"/>
          </w:tcPr>
          <w:p w14:paraId="420E79EE" w14:textId="77777777" w:rsidR="000634C4" w:rsidRPr="004017E2" w:rsidRDefault="000634C4" w:rsidP="0006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1</w:t>
            </w:r>
          </w:p>
        </w:tc>
        <w:tc>
          <w:tcPr>
            <w:tcW w:w="10296" w:type="dxa"/>
            <w:gridSpan w:val="2"/>
            <w:shd w:val="clear" w:color="auto" w:fill="auto"/>
          </w:tcPr>
          <w:p w14:paraId="40687481" w14:textId="6DAD4D47" w:rsidR="000634C4" w:rsidRPr="004017E2" w:rsidRDefault="003F2231" w:rsidP="0006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Opis metodologije koja se primjenjuje u </w:t>
            </w:r>
            <w:r w:rsidR="006628F1" w:rsidRPr="0040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hr-HR"/>
              </w:rPr>
              <w:t>ex</w:t>
            </w:r>
            <w:r w:rsidR="00AB5526" w:rsidRPr="0040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hr-HR"/>
              </w:rPr>
              <w:t xml:space="preserve"> </w:t>
            </w:r>
            <w:r w:rsidR="006628F1" w:rsidRPr="0040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hr-HR"/>
              </w:rPr>
              <w:t>ante</w:t>
            </w:r>
            <w:r w:rsidR="000634C4" w:rsidRPr="0040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u w:val="single"/>
                <w:shd w:val="clear" w:color="auto" w:fill="FFFFFF"/>
                <w:lang w:val="hr-HR"/>
              </w:rPr>
              <w:t>provjerama</w:t>
            </w:r>
            <w:r w:rsidR="000634C4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:</w:t>
            </w:r>
          </w:p>
          <w:p w14:paraId="024A58ED" w14:textId="2C7A9F3F" w:rsidR="001557F2" w:rsidRPr="004017E2" w:rsidRDefault="00482E56" w:rsidP="001557F2">
            <w:pPr>
              <w:pStyle w:val="ListParagraph"/>
              <w:numPr>
                <w:ilvl w:val="1"/>
                <w:numId w:val="6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U</w:t>
            </w:r>
            <w:r w:rsidR="001557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910ED9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prethodni</w:t>
            </w:r>
            <w:r w:rsidR="00642DAB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m</w:t>
            </w:r>
            <w:r w:rsidR="00910ED9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</w:t>
            </w:r>
            <w:r w:rsidR="001557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1557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ante) </w:t>
            </w:r>
            <w:r w:rsidR="003F223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k</w:t>
            </w:r>
            <w:r w:rsidR="001557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ontrol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ama dokumenata</w:t>
            </w:r>
            <w:r w:rsidR="003F223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PT2</w:t>
            </w:r>
            <w:r w:rsidR="001557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,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UT se fokusira na odabir operacija i tako obavlja provjeru dokumenata koji postavljaju kriterije te metodologije za postupke odabira svih </w:t>
            </w:r>
            <w:r w:rsidR="00CD3763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vrsta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operacija. </w:t>
            </w:r>
            <w:r w:rsidR="001557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</w:p>
          <w:p w14:paraId="79422A53" w14:textId="773BF080" w:rsidR="001557F2" w:rsidRPr="004017E2" w:rsidRDefault="00482E56" w:rsidP="001557F2">
            <w:pPr>
              <w:pStyle w:val="ListParagraph"/>
              <w:numPr>
                <w:ilvl w:val="1"/>
                <w:numId w:val="6"/>
              </w:numPr>
              <w:spacing w:before="60" w:after="0" w:line="240" w:lineRule="auto"/>
              <w:ind w:left="357" w:hanging="357"/>
              <w:contextualSpacing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U </w:t>
            </w:r>
            <w:r w:rsidR="00642DAB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prethodnim (ex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642DAB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ante)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kontrolama </w:t>
            </w:r>
            <w:r w:rsidR="00C45B34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nad </w:t>
            </w:r>
            <w:r w:rsidR="00E81FCF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rezultatima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PT2, UT se fokusira na usklađenost provjera upravljanja te na taj način obavlja pregled i odobravanje </w:t>
            </w:r>
            <w:r w:rsidR="001557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priručnika o postupanju PT2, </w:t>
            </w:r>
            <w:r w:rsidR="00E90CA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što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, između ostalog, uključuje i provjeru metodologije procjene rizika za uzorkovanje administrativnih i PLM provjera koje PT2 provodi nad korisnicima</w:t>
            </w:r>
            <w:r w:rsidR="001557F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.</w:t>
            </w:r>
            <w:r w:rsidR="002D12FE" w:rsidRPr="004017E2">
              <w:rPr>
                <w:rStyle w:val="FootnoteReference"/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footnoteReference w:id="4"/>
            </w:r>
          </w:p>
          <w:p w14:paraId="7A5EB520" w14:textId="51865CAE" w:rsidR="001015AA" w:rsidRPr="004017E2" w:rsidRDefault="001015AA" w:rsidP="001557F2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UT provodi 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ante provjeru 100% dokumentacije koju dostavljaju PT-ovi. Tipične greške se identificiraju i analiziraju. </w:t>
            </w:r>
          </w:p>
          <w:p w14:paraId="1E579107" w14:textId="77777777" w:rsidR="000634C4" w:rsidRPr="004017E2" w:rsidRDefault="000634C4" w:rsidP="0006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&lt;</w:t>
            </w:r>
            <w:r w:rsidR="001015AA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Nadopuniti drugim kontrolama</w:t>
            </w: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, </w:t>
            </w:r>
            <w:r w:rsidR="001015AA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ako je primjenjivo</w:t>
            </w:r>
            <w:r w:rsidR="006628F1" w:rsidRPr="004017E2">
              <w:rPr>
                <w:rStyle w:val="FootnoteReference"/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footnoteReference w:id="5"/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&gt;</w:t>
            </w:r>
          </w:p>
        </w:tc>
      </w:tr>
      <w:tr w:rsidR="000634C4" w:rsidRPr="004017E2" w14:paraId="20199A85" w14:textId="77777777" w:rsidTr="005B55E0">
        <w:tc>
          <w:tcPr>
            <w:tcW w:w="336" w:type="dxa"/>
            <w:shd w:val="clear" w:color="auto" w:fill="auto"/>
          </w:tcPr>
          <w:p w14:paraId="2120AD14" w14:textId="77777777" w:rsidR="000634C4" w:rsidRPr="004017E2" w:rsidRDefault="000634C4" w:rsidP="0006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2</w:t>
            </w:r>
          </w:p>
        </w:tc>
        <w:tc>
          <w:tcPr>
            <w:tcW w:w="10296" w:type="dxa"/>
            <w:gridSpan w:val="2"/>
            <w:shd w:val="clear" w:color="auto" w:fill="auto"/>
          </w:tcPr>
          <w:p w14:paraId="7D9C90FC" w14:textId="2A9E548E" w:rsidR="000634C4" w:rsidRPr="004017E2" w:rsidRDefault="00E13CF1" w:rsidP="004C644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Opis metodologije koja se primjenjuje za </w:t>
            </w:r>
            <w:r w:rsidRPr="0040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hr-HR"/>
              </w:rPr>
              <w:t>PRS-</w:t>
            </w:r>
            <w:r w:rsidR="00AB5526" w:rsidRPr="0040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hr-HR"/>
              </w:rPr>
              <w:t>o</w:t>
            </w:r>
            <w:r w:rsidRPr="004017E2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shd w:val="clear" w:color="auto" w:fill="FFFFFF"/>
                <w:lang w:val="hr-HR"/>
              </w:rPr>
              <w:t>ve</w:t>
            </w:r>
            <w:r w:rsidR="000634C4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:</w:t>
            </w:r>
          </w:p>
          <w:p w14:paraId="7A7300A4" w14:textId="73DCC32B" w:rsidR="004C6441" w:rsidRPr="004017E2" w:rsidRDefault="00E13CF1" w:rsidP="004C644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PRS-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vi također služe kao kontrola komplementarna 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ante provjerama UT-a, ka</w:t>
            </w:r>
            <w:r w:rsidR="008F63DE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k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 bi se osiguralo da dokumenti, koje je UT administrativno 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ante provjerio</w:t>
            </w:r>
            <w:r w:rsidR="004C644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2142E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proizlaze iz usklađenih procesa i opravdani su odgovarajućim popratnim dokumentima</w:t>
            </w:r>
            <w:r w:rsidR="004C644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.</w:t>
            </w:r>
            <w:r w:rsidR="002142E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PRS-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</w:t>
            </w:r>
            <w:r w:rsidR="002142E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vi se povezuju s izdacima nastalima u određenoj računovodstvenoj godini i omogućavaju UT-u da</w:t>
            </w:r>
            <w:r w:rsidR="00636B5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potpiše tvrdnje UT-a u godišnjoj Izjavi o upravljanju. </w:t>
            </w:r>
            <w:r w:rsidR="002142E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</w:p>
          <w:p w14:paraId="28EC7F67" w14:textId="3A41B6E7" w:rsidR="00636B51" w:rsidRPr="004017E2" w:rsidRDefault="00636B5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Delegirane funkcije </w:t>
            </w:r>
            <w:r w:rsidR="00FD1E7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i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PT-ovi koje će UT provjeravati tijekom PRS-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va odabrani su temeljem procjene rizika, koja predviđa opseg učestalosti PRS-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va u svakom PT-u. UT </w:t>
            </w:r>
            <w:r w:rsidR="00F009E3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provodi uzorkovanje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6B001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transakcije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koje će se testirati </w:t>
            </w:r>
            <w:r w:rsidR="00D812B7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kroz </w:t>
            </w:r>
            <w:r w:rsidR="00962673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kontrolu </w:t>
            </w:r>
            <w:r w:rsidR="00CE425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procedura</w:t>
            </w:r>
            <w:r w:rsidR="00D812B7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="006B001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i </w:t>
            </w:r>
            <w:r w:rsidR="00FD1E7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re</w:t>
            </w:r>
            <w:r w:rsidR="00CE4251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izvedbu postupaka</w:t>
            </w:r>
            <w:r w:rsidR="006B001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.</w:t>
            </w:r>
          </w:p>
          <w:p w14:paraId="13E05495" w14:textId="77777777" w:rsidR="000634C4" w:rsidRPr="004017E2" w:rsidRDefault="000634C4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&lt;</w:t>
            </w:r>
            <w:r w:rsidR="006B0012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Treba se nadopuniti, ako je primjenjivo</w:t>
            </w: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&gt; </w:t>
            </w:r>
          </w:p>
        </w:tc>
      </w:tr>
      <w:tr w:rsidR="000634C4" w:rsidRPr="004017E2" w14:paraId="0C420FAD" w14:textId="77777777" w:rsidTr="005B55E0">
        <w:tc>
          <w:tcPr>
            <w:tcW w:w="336" w:type="dxa"/>
            <w:vMerge w:val="restart"/>
            <w:shd w:val="clear" w:color="auto" w:fill="auto"/>
          </w:tcPr>
          <w:p w14:paraId="1149913F" w14:textId="77777777" w:rsidR="000634C4" w:rsidRPr="004017E2" w:rsidRDefault="000634C4" w:rsidP="0006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3</w:t>
            </w:r>
          </w:p>
        </w:tc>
        <w:tc>
          <w:tcPr>
            <w:tcW w:w="5084" w:type="dxa"/>
            <w:shd w:val="clear" w:color="auto" w:fill="auto"/>
          </w:tcPr>
          <w:p w14:paraId="4E55E8D1" w14:textId="77777777" w:rsidR="000634C4" w:rsidRPr="004017E2" w:rsidRDefault="006B00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 xml:space="preserve">Glavni rezultati i vrste utvrđenih pogrešaka/nepravilnosti </w:t>
            </w:r>
          </w:p>
        </w:tc>
        <w:tc>
          <w:tcPr>
            <w:tcW w:w="5212" w:type="dxa"/>
            <w:shd w:val="clear" w:color="auto" w:fill="auto"/>
          </w:tcPr>
          <w:p w14:paraId="50D165FA" w14:textId="77777777" w:rsidR="000634C4" w:rsidRPr="004017E2" w:rsidRDefault="006B0012" w:rsidP="000634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Doneseni zaključci i poduzete ili planirane korektivne mjere  </w:t>
            </w:r>
            <w:r w:rsidRPr="004017E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[ovisno o vrsti nepravilnosti, npr. pojedinačne ili sustavne]</w:t>
            </w:r>
          </w:p>
        </w:tc>
      </w:tr>
      <w:tr w:rsidR="000634C4" w:rsidRPr="004017E2" w14:paraId="69FFFAAC" w14:textId="77777777" w:rsidTr="005B55E0">
        <w:tc>
          <w:tcPr>
            <w:tcW w:w="336" w:type="dxa"/>
            <w:vMerge/>
            <w:shd w:val="clear" w:color="auto" w:fill="auto"/>
          </w:tcPr>
          <w:p w14:paraId="5D6009E2" w14:textId="77777777" w:rsidR="000634C4" w:rsidRPr="004017E2" w:rsidRDefault="000634C4" w:rsidP="000634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5084" w:type="dxa"/>
            <w:shd w:val="clear" w:color="auto" w:fill="auto"/>
          </w:tcPr>
          <w:p w14:paraId="4867F91E" w14:textId="77777777" w:rsidR="000634C4" w:rsidRPr="004017E2" w:rsidRDefault="000634C4" w:rsidP="00E3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(1)</w:t>
            </w:r>
          </w:p>
        </w:tc>
        <w:tc>
          <w:tcPr>
            <w:tcW w:w="5212" w:type="dxa"/>
            <w:shd w:val="clear" w:color="auto" w:fill="auto"/>
          </w:tcPr>
          <w:p w14:paraId="57CCE1D1" w14:textId="77777777" w:rsidR="000634C4" w:rsidRPr="004017E2" w:rsidRDefault="000634C4" w:rsidP="00E30E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(2)</w:t>
            </w:r>
          </w:p>
        </w:tc>
      </w:tr>
      <w:tr w:rsidR="000634C4" w:rsidRPr="004017E2" w14:paraId="3F7B300F" w14:textId="77777777" w:rsidTr="005B55E0">
        <w:tc>
          <w:tcPr>
            <w:tcW w:w="5420" w:type="dxa"/>
            <w:gridSpan w:val="2"/>
            <w:shd w:val="clear" w:color="auto" w:fill="auto"/>
          </w:tcPr>
          <w:p w14:paraId="1C4079F8" w14:textId="06129563" w:rsidR="000634C4" w:rsidRPr="004017E2" w:rsidRDefault="005111F1" w:rsidP="005111F1">
            <w:pPr>
              <w:pStyle w:val="ListParagraph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ante </w:t>
            </w:r>
            <w:r w:rsidR="006B001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provjere</w:t>
            </w:r>
          </w:p>
          <w:p w14:paraId="7093DEA1" w14:textId="77777777" w:rsidR="005111F1" w:rsidRPr="004017E2" w:rsidRDefault="005111F1" w:rsidP="005111F1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&lt;</w:t>
            </w:r>
            <w:r w:rsidR="006B0012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Navedite najtipičnije pogreške </w:t>
            </w: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&gt;</w:t>
            </w:r>
          </w:p>
          <w:p w14:paraId="73D0C7E3" w14:textId="77777777" w:rsidR="005111F1" w:rsidRPr="004017E2" w:rsidRDefault="006B0012" w:rsidP="005111F1">
            <w:pPr>
              <w:pStyle w:val="ListParagraph"/>
              <w:numPr>
                <w:ilvl w:val="0"/>
                <w:numId w:val="5"/>
              </w:numPr>
              <w:spacing w:before="60" w:after="60" w:line="240" w:lineRule="auto"/>
              <w:contextualSpacing w:val="0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PRS</w:t>
            </w:r>
          </w:p>
          <w:p w14:paraId="2B9143FB" w14:textId="7D81AF3B" w:rsidR="005111F1" w:rsidRPr="004017E2" w:rsidRDefault="005111F1" w:rsidP="00506557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&lt;</w:t>
            </w:r>
            <w:r w:rsidR="006B0012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Navedite pogreške/nepravilnosti označene </w:t>
            </w:r>
            <w:r w:rsidR="00506557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kao </w:t>
            </w:r>
            <w:r w:rsidR="006B0012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C ili D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&gt;</w:t>
            </w:r>
          </w:p>
        </w:tc>
        <w:tc>
          <w:tcPr>
            <w:tcW w:w="5212" w:type="dxa"/>
            <w:shd w:val="clear" w:color="auto" w:fill="auto"/>
          </w:tcPr>
          <w:p w14:paraId="7EE9B90A" w14:textId="11F9A5CC" w:rsidR="000634C4" w:rsidRPr="004017E2" w:rsidRDefault="00754009" w:rsidP="00554E7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-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ab/>
              <w:t>Ex</w:t>
            </w:r>
            <w:r w:rsidR="00AB552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ante </w:t>
            </w:r>
            <w:r w:rsidR="006B001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provjere</w:t>
            </w:r>
          </w:p>
          <w:p w14:paraId="676CB210" w14:textId="77777777" w:rsidR="00554E79" w:rsidRPr="004017E2" w:rsidRDefault="00554E79" w:rsidP="00554E7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&lt;…&gt;</w:t>
            </w:r>
          </w:p>
          <w:p w14:paraId="4FF7EC59" w14:textId="77777777" w:rsidR="00554E79" w:rsidRPr="004017E2" w:rsidRDefault="00554E79" w:rsidP="00554E7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-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ab/>
            </w:r>
            <w:r w:rsidR="006B001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PRS</w:t>
            </w:r>
          </w:p>
          <w:p w14:paraId="7532F8AE" w14:textId="77777777" w:rsidR="00554E79" w:rsidRPr="004017E2" w:rsidRDefault="00554E79" w:rsidP="00554E79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&lt;…&gt;</w:t>
            </w:r>
          </w:p>
        </w:tc>
      </w:tr>
    </w:tbl>
    <w:p w14:paraId="73EF8B3C" w14:textId="34F15076" w:rsidR="003B575D" w:rsidRPr="004017E2" w:rsidRDefault="004C31F5" w:rsidP="004F5E22">
      <w:pPr>
        <w:spacing w:before="360" w:after="120" w:line="240" w:lineRule="auto"/>
        <w:jc w:val="both"/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E</w:t>
      </w:r>
      <w:r w:rsidR="003B575D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) </w:t>
      </w:r>
      <w:r w:rsidR="006B0012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Ostale revizije</w:t>
      </w:r>
      <w:r w:rsidR="003B575D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</w:t>
      </w:r>
      <w:r w:rsidR="003B575D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p</w:t>
      </w:r>
      <w:r w:rsidR="00AA6180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rema članku </w:t>
      </w:r>
      <w:r w:rsidR="00CE3272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75(2)</w:t>
      </w:r>
      <w:r w:rsidR="00AA6180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Uredbe</w:t>
      </w:r>
      <w:r w:rsidR="00CE3272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(EU) </w:t>
      </w:r>
      <w:r w:rsidR="00AA6180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br.</w:t>
      </w:r>
      <w:r w:rsidR="00CE3272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1303/2013</w:t>
      </w:r>
      <w:r w:rsidR="00AA6180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i hrvatskom zakonodavnom okviru</w:t>
      </w:r>
      <w:r w:rsidR="00CE3272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(</w:t>
      </w:r>
      <w:r w:rsidR="00E64ADE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Europski revizorski sud</w:t>
      </w:r>
      <w:r w:rsidR="00CE3272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, </w:t>
      </w:r>
      <w:r w:rsidR="00AA6180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Komisija</w:t>
      </w:r>
      <w:r w:rsidR="00CE3272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,</w:t>
      </w:r>
      <w:r w:rsidR="00AA6180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Državni ured za reviziju</w:t>
      </w:r>
      <w:r w:rsidR="00CE3272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, </w:t>
      </w:r>
      <w:r w:rsidR="00AA6180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jedinice za unutarnju reviziju</w:t>
      </w:r>
      <w:r w:rsidR="00CE3272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)</w:t>
      </w:r>
      <w:r w:rsidR="00165EEC" w:rsidRPr="004017E2">
        <w:rPr>
          <w:rStyle w:val="FootnoteReference"/>
          <w:rFonts w:ascii="Times New Roman" w:eastAsia="Times New Roman" w:hAnsi="Times New Roman" w:cs="Times New Roman"/>
          <w:color w:val="44546A" w:themeColor="text2"/>
          <w:sz w:val="24"/>
          <w:szCs w:val="24"/>
          <w:u w:val="single"/>
          <w:shd w:val="clear" w:color="auto" w:fill="FFFFFF"/>
          <w:lang w:val="hr-HR"/>
        </w:rPr>
        <w:footnoteReference w:id="6"/>
      </w:r>
    </w:p>
    <w:p w14:paraId="47BD6A31" w14:textId="77777777" w:rsidR="007A5F2B" w:rsidRPr="004017E2" w:rsidRDefault="007A5F2B" w:rsidP="007A5F2B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Tabl</w:t>
      </w:r>
      <w:r w:rsidR="00AA6180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ica</w:t>
      </w: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</w:t>
      </w:r>
      <w:r w:rsidR="00190F45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5</w:t>
      </w: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4452"/>
        <w:gridCol w:w="5245"/>
      </w:tblGrid>
      <w:tr w:rsidR="003B575D" w:rsidRPr="004017E2" w14:paraId="11B609B5" w14:textId="77777777" w:rsidTr="005B55E0">
        <w:tc>
          <w:tcPr>
            <w:tcW w:w="10632" w:type="dxa"/>
            <w:gridSpan w:val="3"/>
            <w:shd w:val="clear" w:color="auto" w:fill="auto"/>
          </w:tcPr>
          <w:p w14:paraId="489FBB22" w14:textId="6FF2275F" w:rsidR="003B575D" w:rsidRPr="004017E2" w:rsidRDefault="00AA6180" w:rsidP="00CE327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Sljedeće revizije su provedene tijekom i/ili u vezi s</w:t>
            </w:r>
            <w:r w:rsidR="00544347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izvještajnim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razdobljem</w:t>
            </w:r>
            <w:r w:rsidR="00CE327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:</w:t>
            </w:r>
          </w:p>
          <w:p w14:paraId="32DADF52" w14:textId="77777777" w:rsidR="00494998" w:rsidRPr="004017E2" w:rsidRDefault="00494998" w:rsidP="00CE3272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&lt;…&gt;</w:t>
            </w:r>
          </w:p>
        </w:tc>
      </w:tr>
      <w:tr w:rsidR="003B575D" w:rsidRPr="004017E2" w14:paraId="668BD67A" w14:textId="77777777" w:rsidTr="005B55E0">
        <w:tc>
          <w:tcPr>
            <w:tcW w:w="935" w:type="dxa"/>
            <w:shd w:val="clear" w:color="auto" w:fill="auto"/>
          </w:tcPr>
          <w:p w14:paraId="0F9F3215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1</w:t>
            </w:r>
          </w:p>
        </w:tc>
        <w:tc>
          <w:tcPr>
            <w:tcW w:w="9697" w:type="dxa"/>
            <w:gridSpan w:val="2"/>
            <w:shd w:val="clear" w:color="auto" w:fill="auto"/>
          </w:tcPr>
          <w:p w14:paraId="6951147C" w14:textId="77777777" w:rsidR="003B575D" w:rsidRPr="004017E2" w:rsidRDefault="00AA6180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Opis revizije</w:t>
            </w:r>
            <w:r w:rsidR="00CE327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:</w:t>
            </w:r>
          </w:p>
        </w:tc>
      </w:tr>
      <w:tr w:rsidR="003B575D" w:rsidRPr="004017E2" w14:paraId="2E5AE259" w14:textId="77777777" w:rsidTr="005B55E0">
        <w:tc>
          <w:tcPr>
            <w:tcW w:w="935" w:type="dxa"/>
            <w:shd w:val="clear" w:color="auto" w:fill="auto"/>
          </w:tcPr>
          <w:p w14:paraId="1DAFE2B6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2</w:t>
            </w:r>
          </w:p>
        </w:tc>
        <w:tc>
          <w:tcPr>
            <w:tcW w:w="9697" w:type="dxa"/>
            <w:gridSpan w:val="2"/>
            <w:shd w:val="clear" w:color="auto" w:fill="auto"/>
          </w:tcPr>
          <w:p w14:paraId="7F99122A" w14:textId="77777777" w:rsidR="003B575D" w:rsidRPr="004017E2" w:rsidRDefault="00AA6180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Opis revizije</w:t>
            </w:r>
            <w:r w:rsidR="00E82896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:</w:t>
            </w:r>
          </w:p>
        </w:tc>
      </w:tr>
      <w:tr w:rsidR="003B575D" w:rsidRPr="004017E2" w14:paraId="7581D184" w14:textId="77777777" w:rsidTr="005B55E0">
        <w:tc>
          <w:tcPr>
            <w:tcW w:w="935" w:type="dxa"/>
            <w:vMerge w:val="restart"/>
            <w:shd w:val="clear" w:color="auto" w:fill="auto"/>
          </w:tcPr>
          <w:p w14:paraId="6FAA4B5E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3</w:t>
            </w:r>
          </w:p>
        </w:tc>
        <w:tc>
          <w:tcPr>
            <w:tcW w:w="4452" w:type="dxa"/>
            <w:shd w:val="clear" w:color="auto" w:fill="auto"/>
          </w:tcPr>
          <w:p w14:paraId="731A4996" w14:textId="77777777" w:rsidR="003B575D" w:rsidRPr="004017E2" w:rsidRDefault="00AA6180" w:rsidP="00BB1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Glavni nalazi</w:t>
            </w:r>
            <w:r w:rsidR="003B575D"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</w:p>
        </w:tc>
        <w:tc>
          <w:tcPr>
            <w:tcW w:w="5245" w:type="dxa"/>
            <w:shd w:val="clear" w:color="auto" w:fill="auto"/>
          </w:tcPr>
          <w:p w14:paraId="5285E3D2" w14:textId="77777777" w:rsidR="003B575D" w:rsidRPr="004017E2" w:rsidRDefault="00AA6180" w:rsidP="00BB1C4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FF"/>
                <w:lang w:val="hr-HR"/>
              </w:rPr>
              <w:t>Doneseni glavni zaključci i preporuke te planirane ili poduzete korektivne mjere</w:t>
            </w:r>
          </w:p>
        </w:tc>
      </w:tr>
      <w:tr w:rsidR="003B575D" w:rsidRPr="004017E2" w14:paraId="56C0D6BF" w14:textId="77777777" w:rsidTr="005B55E0">
        <w:tc>
          <w:tcPr>
            <w:tcW w:w="935" w:type="dxa"/>
            <w:vMerge/>
            <w:shd w:val="clear" w:color="auto" w:fill="auto"/>
          </w:tcPr>
          <w:p w14:paraId="104FBA2E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4452" w:type="dxa"/>
            <w:shd w:val="clear" w:color="auto" w:fill="auto"/>
          </w:tcPr>
          <w:p w14:paraId="5DA628B0" w14:textId="77777777" w:rsidR="003B575D" w:rsidRPr="004017E2" w:rsidRDefault="003B575D" w:rsidP="00E8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(1)</w:t>
            </w:r>
          </w:p>
        </w:tc>
        <w:tc>
          <w:tcPr>
            <w:tcW w:w="5245" w:type="dxa"/>
            <w:shd w:val="clear" w:color="auto" w:fill="auto"/>
          </w:tcPr>
          <w:p w14:paraId="4A73C7B2" w14:textId="77777777" w:rsidR="003B575D" w:rsidRPr="004017E2" w:rsidRDefault="003B575D" w:rsidP="00E8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(2)</w:t>
            </w:r>
          </w:p>
        </w:tc>
      </w:tr>
      <w:tr w:rsidR="003B575D" w:rsidRPr="004017E2" w14:paraId="60A523D8" w14:textId="77777777" w:rsidTr="005B55E0">
        <w:tc>
          <w:tcPr>
            <w:tcW w:w="5387" w:type="dxa"/>
            <w:gridSpan w:val="2"/>
            <w:shd w:val="clear" w:color="auto" w:fill="auto"/>
          </w:tcPr>
          <w:p w14:paraId="3EFB4A7C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5245" w:type="dxa"/>
            <w:shd w:val="clear" w:color="auto" w:fill="auto"/>
          </w:tcPr>
          <w:p w14:paraId="49653C81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  <w:p w14:paraId="4BCF0950" w14:textId="77777777" w:rsidR="004F5E22" w:rsidRPr="004017E2" w:rsidRDefault="004F5E22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</w:tbl>
    <w:p w14:paraId="3A5CF0E2" w14:textId="77777777" w:rsidR="004C31F5" w:rsidRPr="004017E2" w:rsidRDefault="004C31F5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1A91D8A8" w14:textId="77777777" w:rsidR="00045C0F" w:rsidRPr="004017E2" w:rsidRDefault="00045C0F">
      <w:pPr>
        <w:rPr>
          <w:rFonts w:ascii="Times New Roman" w:hAnsi="Times New Roman" w:cs="Times New Roman"/>
          <w:sz w:val="24"/>
          <w:szCs w:val="24"/>
          <w:lang w:val="hr-HR"/>
        </w:rPr>
      </w:pPr>
    </w:p>
    <w:p w14:paraId="6831749A" w14:textId="77777777" w:rsidR="00045C0F" w:rsidRPr="004017E2" w:rsidRDefault="005348FE" w:rsidP="00045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Ukupan iznos ispravaka u računima</w:t>
      </w:r>
      <w:r w:rsidR="00045C0F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shd w:val="clear" w:color="auto" w:fill="FFFFFF"/>
          <w:lang w:val="hr-HR"/>
        </w:rPr>
        <w:t xml:space="preserve"> </w:t>
      </w:r>
    </w:p>
    <w:p w14:paraId="4C533467" w14:textId="6CAC63F4" w:rsidR="00045C0F" w:rsidRPr="004017E2" w:rsidRDefault="005348FE" w:rsidP="00045C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shd w:val="clear" w:color="auto" w:fill="FFFFFF"/>
          <w:lang w:val="hr-HR"/>
        </w:rPr>
        <w:t xml:space="preserve">kao posljedica nepravilnosti i provedenih do </w:t>
      </w:r>
      <w:r w:rsidR="00380C5E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shd w:val="clear" w:color="auto" w:fill="FFFFFF"/>
          <w:lang w:val="hr-HR"/>
        </w:rPr>
        <w:t>i</w:t>
      </w:r>
      <w:r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shd w:val="clear" w:color="auto" w:fill="FFFFFF"/>
          <w:lang w:val="hr-HR"/>
        </w:rPr>
        <w:t xml:space="preserve"> </w:t>
      </w:r>
      <w:r w:rsidR="00380C5E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shd w:val="clear" w:color="auto" w:fill="FFFFFF"/>
          <w:lang w:val="hr-HR"/>
        </w:rPr>
        <w:t xml:space="preserve">nakon predaje završnog zahtjeva za međuplaćanje, </w:t>
      </w:r>
      <w:r w:rsidR="00C26228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shd w:val="clear" w:color="auto" w:fill="FFFFFF"/>
          <w:lang w:val="hr-HR"/>
        </w:rPr>
        <w:t xml:space="preserve">zbrojeno </w:t>
      </w:r>
      <w:r w:rsidR="00380C5E" w:rsidRPr="004017E2">
        <w:rPr>
          <w:rFonts w:ascii="Times New Roman" w:eastAsia="Times New Roman" w:hAnsi="Times New Roman" w:cs="Times New Roman"/>
          <w:color w:val="44546A" w:themeColor="text2"/>
          <w:sz w:val="24"/>
          <w:szCs w:val="24"/>
          <w:shd w:val="clear" w:color="auto" w:fill="FFFFFF"/>
          <w:lang w:val="hr-HR"/>
        </w:rPr>
        <w:t>na razini prioritetne osi</w:t>
      </w:r>
      <w:r w:rsidR="00045C0F" w:rsidRPr="004017E2">
        <w:rPr>
          <w:rStyle w:val="FootnoteReference"/>
          <w:rFonts w:ascii="Times New Roman" w:eastAsia="Times New Roman" w:hAnsi="Times New Roman" w:cs="Times New Roman"/>
          <w:color w:val="44546A" w:themeColor="text2"/>
          <w:sz w:val="24"/>
          <w:szCs w:val="24"/>
          <w:shd w:val="clear" w:color="auto" w:fill="FFFFFF"/>
          <w:lang w:val="hr-HR"/>
        </w:rPr>
        <w:footnoteReference w:id="7"/>
      </w:r>
    </w:p>
    <w:p w14:paraId="2F0E21F2" w14:textId="77777777" w:rsidR="004C31F5" w:rsidRPr="004017E2" w:rsidRDefault="00190F45" w:rsidP="00190F45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lastRenderedPageBreak/>
        <w:t>Tabl</w:t>
      </w:r>
      <w:r w:rsidR="005B79E5"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>ica</w:t>
      </w:r>
      <w:r w:rsidRPr="004017E2">
        <w:rPr>
          <w:rFonts w:ascii="Times New Roman" w:eastAsia="Times New Roman" w:hAnsi="Times New Roman" w:cs="Times New Roman"/>
          <w:b/>
          <w:color w:val="44546A" w:themeColor="text2"/>
          <w:sz w:val="24"/>
          <w:szCs w:val="24"/>
          <w:u w:val="single"/>
          <w:shd w:val="clear" w:color="auto" w:fill="FFFFFF"/>
          <w:lang w:val="hr-HR"/>
        </w:rPr>
        <w:t xml:space="preserve"> 6</w:t>
      </w:r>
    </w:p>
    <w:tbl>
      <w:tblPr>
        <w:tblW w:w="10774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0"/>
        <w:gridCol w:w="4420"/>
        <w:gridCol w:w="2682"/>
        <w:gridCol w:w="2682"/>
      </w:tblGrid>
      <w:tr w:rsidR="003B575D" w:rsidRPr="004017E2" w14:paraId="42155A34" w14:textId="77777777" w:rsidTr="005B55E0">
        <w:tc>
          <w:tcPr>
            <w:tcW w:w="10774" w:type="dxa"/>
            <w:gridSpan w:val="4"/>
            <w:shd w:val="clear" w:color="auto" w:fill="auto"/>
          </w:tcPr>
          <w:p w14:paraId="4C39022D" w14:textId="77777777" w:rsidR="003B575D" w:rsidRPr="004017E2" w:rsidRDefault="003B575D" w:rsidP="0049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  <w:tr w:rsidR="00D62BE9" w:rsidRPr="004017E2" w14:paraId="019A021F" w14:textId="77777777" w:rsidTr="005B55E0">
        <w:trPr>
          <w:trHeight w:val="1266"/>
        </w:trPr>
        <w:tc>
          <w:tcPr>
            <w:tcW w:w="990" w:type="dxa"/>
            <w:shd w:val="clear" w:color="auto" w:fill="auto"/>
          </w:tcPr>
          <w:p w14:paraId="48325F45" w14:textId="77777777" w:rsidR="003B575D" w:rsidRPr="004017E2" w:rsidRDefault="003B575D" w:rsidP="00E8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shd w:val="clear" w:color="auto" w:fill="FFFFFF"/>
                <w:lang w:val="hr-HR"/>
              </w:rPr>
            </w:pPr>
          </w:p>
        </w:tc>
        <w:tc>
          <w:tcPr>
            <w:tcW w:w="4420" w:type="dxa"/>
            <w:shd w:val="clear" w:color="auto" w:fill="auto"/>
          </w:tcPr>
          <w:p w14:paraId="4F7DC6DD" w14:textId="77777777" w:rsidR="003B575D" w:rsidRPr="004017E2" w:rsidRDefault="00D62BE9" w:rsidP="00E8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Naziv prioritetne osi</w:t>
            </w:r>
            <w:r w:rsidR="003B575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</w:p>
        </w:tc>
        <w:tc>
          <w:tcPr>
            <w:tcW w:w="2682" w:type="dxa"/>
            <w:shd w:val="clear" w:color="auto" w:fill="auto"/>
          </w:tcPr>
          <w:p w14:paraId="2742DC3C" w14:textId="77777777" w:rsidR="00D62BE9" w:rsidRPr="004017E2" w:rsidRDefault="00D62BE9" w:rsidP="00D62B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hr-HR"/>
              </w:rPr>
              <w:t>Do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podnošenja završnog zahtjeva za međuplaćanje</w:t>
            </w:r>
          </w:p>
          <w:p w14:paraId="4B07BC5E" w14:textId="77777777" w:rsidR="003B575D" w:rsidRPr="004017E2" w:rsidRDefault="00D62BE9" w:rsidP="00E8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Ukupan iznos (EUR)</w:t>
            </w:r>
          </w:p>
        </w:tc>
        <w:tc>
          <w:tcPr>
            <w:tcW w:w="2682" w:type="dxa"/>
            <w:shd w:val="clear" w:color="auto" w:fill="auto"/>
          </w:tcPr>
          <w:p w14:paraId="02D2426F" w14:textId="77777777" w:rsidR="003B575D" w:rsidRPr="004017E2" w:rsidRDefault="00D62BE9" w:rsidP="00E8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shd w:val="clear" w:color="auto" w:fill="FFFFFF"/>
                <w:lang w:val="hr-HR"/>
              </w:rPr>
              <w:t>Nakon</w:t>
            </w:r>
            <w:r w:rsidR="003B575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podnošenja završnog zahtjeva za međuplaćanje</w:t>
            </w:r>
            <w:r w:rsidR="003B575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val="hr-HR"/>
              </w:rPr>
              <w:footnoteReference w:id="8"/>
            </w:r>
          </w:p>
          <w:p w14:paraId="574B5F75" w14:textId="77777777" w:rsidR="003B575D" w:rsidRPr="004017E2" w:rsidRDefault="00D62BE9" w:rsidP="00E8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Ukupan iznos</w:t>
            </w:r>
            <w:r w:rsidR="003B575D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(EUR)</w:t>
            </w:r>
          </w:p>
        </w:tc>
      </w:tr>
      <w:tr w:rsidR="00D62BE9" w:rsidRPr="004017E2" w14:paraId="429557ED" w14:textId="77777777" w:rsidTr="005B55E0">
        <w:tc>
          <w:tcPr>
            <w:tcW w:w="990" w:type="dxa"/>
            <w:shd w:val="clear" w:color="auto" w:fill="auto"/>
          </w:tcPr>
          <w:p w14:paraId="0C5017FC" w14:textId="77777777" w:rsidR="003B575D" w:rsidRPr="004017E2" w:rsidRDefault="00190F45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1</w:t>
            </w:r>
          </w:p>
        </w:tc>
        <w:tc>
          <w:tcPr>
            <w:tcW w:w="4420" w:type="dxa"/>
            <w:shd w:val="clear" w:color="auto" w:fill="auto"/>
          </w:tcPr>
          <w:p w14:paraId="77B4E547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Prior</w:t>
            </w:r>
            <w:r w:rsidR="00D62BE9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itetna os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1</w:t>
            </w:r>
          </w:p>
        </w:tc>
        <w:tc>
          <w:tcPr>
            <w:tcW w:w="2682" w:type="dxa"/>
            <w:shd w:val="clear" w:color="auto" w:fill="auto"/>
          </w:tcPr>
          <w:p w14:paraId="71CCCC1D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682" w:type="dxa"/>
            <w:shd w:val="clear" w:color="auto" w:fill="auto"/>
          </w:tcPr>
          <w:p w14:paraId="58BF6BBF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  <w:tr w:rsidR="00D62BE9" w:rsidRPr="004017E2" w14:paraId="2C8298F7" w14:textId="77777777" w:rsidTr="005B55E0">
        <w:tc>
          <w:tcPr>
            <w:tcW w:w="990" w:type="dxa"/>
            <w:shd w:val="clear" w:color="auto" w:fill="auto"/>
          </w:tcPr>
          <w:p w14:paraId="765AFB42" w14:textId="77777777" w:rsidR="003B575D" w:rsidRPr="004017E2" w:rsidRDefault="00190F45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2</w:t>
            </w:r>
          </w:p>
        </w:tc>
        <w:tc>
          <w:tcPr>
            <w:tcW w:w="4420" w:type="dxa"/>
            <w:shd w:val="clear" w:color="auto" w:fill="auto"/>
          </w:tcPr>
          <w:p w14:paraId="1B65FCDA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Priorit</w:t>
            </w:r>
            <w:r w:rsidR="00D62BE9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etna os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2</w:t>
            </w:r>
          </w:p>
        </w:tc>
        <w:tc>
          <w:tcPr>
            <w:tcW w:w="2682" w:type="dxa"/>
            <w:shd w:val="clear" w:color="auto" w:fill="auto"/>
          </w:tcPr>
          <w:p w14:paraId="32A203FF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682" w:type="dxa"/>
            <w:shd w:val="clear" w:color="auto" w:fill="auto"/>
          </w:tcPr>
          <w:p w14:paraId="0C802E73" w14:textId="77777777" w:rsidR="003B575D" w:rsidRPr="004017E2" w:rsidRDefault="003B575D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  <w:tr w:rsidR="00D62BE9" w:rsidRPr="004017E2" w14:paraId="7555D185" w14:textId="77777777" w:rsidTr="005B55E0">
        <w:tc>
          <w:tcPr>
            <w:tcW w:w="990" w:type="dxa"/>
            <w:shd w:val="clear" w:color="auto" w:fill="auto"/>
          </w:tcPr>
          <w:p w14:paraId="2933157F" w14:textId="77777777" w:rsidR="003C7C72" w:rsidRPr="004017E2" w:rsidRDefault="003C7C72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…</w:t>
            </w:r>
          </w:p>
        </w:tc>
        <w:tc>
          <w:tcPr>
            <w:tcW w:w="4420" w:type="dxa"/>
            <w:shd w:val="clear" w:color="auto" w:fill="auto"/>
          </w:tcPr>
          <w:p w14:paraId="27CC73D8" w14:textId="77777777" w:rsidR="003C7C72" w:rsidRPr="004017E2" w:rsidRDefault="003C7C72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…</w:t>
            </w:r>
          </w:p>
        </w:tc>
        <w:tc>
          <w:tcPr>
            <w:tcW w:w="2682" w:type="dxa"/>
            <w:shd w:val="clear" w:color="auto" w:fill="auto"/>
          </w:tcPr>
          <w:p w14:paraId="6984DC9D" w14:textId="77777777" w:rsidR="003C7C72" w:rsidRPr="004017E2" w:rsidRDefault="003C7C72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682" w:type="dxa"/>
            <w:shd w:val="clear" w:color="auto" w:fill="auto"/>
          </w:tcPr>
          <w:p w14:paraId="29106740" w14:textId="77777777" w:rsidR="003C7C72" w:rsidRPr="004017E2" w:rsidRDefault="003C7C72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  <w:tr w:rsidR="00D62BE9" w:rsidRPr="004017E2" w14:paraId="0B5B7A96" w14:textId="77777777" w:rsidTr="005B55E0">
        <w:tc>
          <w:tcPr>
            <w:tcW w:w="990" w:type="dxa"/>
            <w:shd w:val="clear" w:color="auto" w:fill="auto"/>
          </w:tcPr>
          <w:p w14:paraId="7853E242" w14:textId="77777777" w:rsidR="00C549B2" w:rsidRPr="004017E2" w:rsidRDefault="00D62BE9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Ukupno</w:t>
            </w:r>
          </w:p>
        </w:tc>
        <w:tc>
          <w:tcPr>
            <w:tcW w:w="4420" w:type="dxa"/>
            <w:shd w:val="clear" w:color="auto" w:fill="auto"/>
          </w:tcPr>
          <w:p w14:paraId="451C036D" w14:textId="77777777" w:rsidR="00C549B2" w:rsidRPr="004017E2" w:rsidRDefault="00C549B2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682" w:type="dxa"/>
            <w:shd w:val="clear" w:color="auto" w:fill="auto"/>
          </w:tcPr>
          <w:p w14:paraId="5EBC3367" w14:textId="77777777" w:rsidR="00C549B2" w:rsidRPr="004017E2" w:rsidRDefault="00C549B2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  <w:tc>
          <w:tcPr>
            <w:tcW w:w="2682" w:type="dxa"/>
            <w:shd w:val="clear" w:color="auto" w:fill="auto"/>
          </w:tcPr>
          <w:p w14:paraId="750CE935" w14:textId="77777777" w:rsidR="00C549B2" w:rsidRPr="004017E2" w:rsidRDefault="00C549B2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</w:p>
        </w:tc>
      </w:tr>
      <w:tr w:rsidR="00D62BE9" w:rsidRPr="004017E2" w14:paraId="22569228" w14:textId="77777777" w:rsidTr="005B55E0">
        <w:tc>
          <w:tcPr>
            <w:tcW w:w="5410" w:type="dxa"/>
            <w:gridSpan w:val="2"/>
            <w:shd w:val="clear" w:color="auto" w:fill="auto"/>
          </w:tcPr>
          <w:p w14:paraId="4F7A885C" w14:textId="77777777" w:rsidR="00C549B2" w:rsidRPr="004017E2" w:rsidRDefault="00380C5E" w:rsidP="003B57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Od čega su iznosi ispravljeni u računima posljedica revizija operacija</w:t>
            </w:r>
            <w:r w:rsidR="00C549B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prema članku</w:t>
            </w:r>
            <w:r w:rsidR="00C549B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127(1)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Uredbe</w:t>
            </w:r>
            <w:r w:rsidR="00C549B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(EU) </w:t>
            </w:r>
            <w:r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>br.</w:t>
            </w:r>
            <w:r w:rsidR="00C549B2" w:rsidRPr="004017E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hr-HR"/>
              </w:rPr>
              <w:t xml:space="preserve"> 1303/2013.</w:t>
            </w:r>
          </w:p>
        </w:tc>
        <w:tc>
          <w:tcPr>
            <w:tcW w:w="2682" w:type="dxa"/>
            <w:shd w:val="clear" w:color="auto" w:fill="auto"/>
          </w:tcPr>
          <w:p w14:paraId="2ACE1048" w14:textId="77777777" w:rsidR="00C549B2" w:rsidRPr="004017E2" w:rsidRDefault="00C549B2" w:rsidP="00C54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&lt;</w:t>
            </w:r>
            <w:r w:rsidR="00380C5E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Unijeti iz</w:t>
            </w: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T</w:t>
            </w:r>
            <w:r w:rsidR="00380C5E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ablice</w:t>
            </w: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1</w:t>
            </w:r>
            <w:r w:rsidR="00F42340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(R</w:t>
            </w:r>
            <w:r w:rsidR="00380C5E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ed</w:t>
            </w:r>
            <w:r w:rsidR="00F42340"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 xml:space="preserve"> 7)</w:t>
            </w: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&gt;</w:t>
            </w:r>
          </w:p>
        </w:tc>
        <w:tc>
          <w:tcPr>
            <w:tcW w:w="2682" w:type="dxa"/>
            <w:shd w:val="clear" w:color="auto" w:fill="auto"/>
          </w:tcPr>
          <w:p w14:paraId="3E537259" w14:textId="77777777" w:rsidR="00C549B2" w:rsidRPr="004017E2" w:rsidRDefault="00380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</w:pPr>
            <w:r w:rsidRPr="004017E2">
              <w:rPr>
                <w:rFonts w:ascii="Times New Roman" w:eastAsia="Times New Roman" w:hAnsi="Times New Roman" w:cs="Times New Roman"/>
                <w:i/>
                <w:sz w:val="24"/>
                <w:szCs w:val="24"/>
                <w:shd w:val="clear" w:color="auto" w:fill="FFFFFF"/>
                <w:lang w:val="hr-HR"/>
              </w:rPr>
              <w:t>&lt;Unijeti iz Tablice 1 (Red 7)&gt;</w:t>
            </w:r>
          </w:p>
        </w:tc>
      </w:tr>
    </w:tbl>
    <w:p w14:paraId="6E31C97E" w14:textId="77777777" w:rsidR="003B575D" w:rsidRPr="004017E2" w:rsidRDefault="003B575D" w:rsidP="00E30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2A5BD8DC" w14:textId="77777777" w:rsidR="00AF1C14" w:rsidRPr="004017E2" w:rsidRDefault="00AF1C14" w:rsidP="00E30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209B4019" w14:textId="77777777" w:rsidR="00AF1C14" w:rsidRPr="004017E2" w:rsidRDefault="00AF1C14" w:rsidP="00E30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7EF6C031" w14:textId="77777777" w:rsidR="00AF1C14" w:rsidRPr="004017E2" w:rsidRDefault="00AF1C14" w:rsidP="00E30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5B381215" w14:textId="77777777" w:rsidR="00AF1C14" w:rsidRPr="004017E2" w:rsidRDefault="00AF1C14" w:rsidP="00E30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37C5D85D" w14:textId="1AB87445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&lt;datum&gt;</w:t>
      </w:r>
    </w:p>
    <w:p w14:paraId="3C0A4452" w14:textId="77777777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KLASA:</w:t>
      </w:r>
    </w:p>
    <w:p w14:paraId="70EBE423" w14:textId="77777777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>URBROJ:</w:t>
      </w:r>
    </w:p>
    <w:p w14:paraId="249C1791" w14:textId="77777777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1340CB1A" w14:textId="77777777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37BC6B7A" w14:textId="77777777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527408A7" w14:textId="77777777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487CC6A2" w14:textId="77777777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75DD1821" w14:textId="77777777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3DF39DAE" w14:textId="77777777" w:rsidR="00AF1C14" w:rsidRPr="004017E2" w:rsidRDefault="00AF1C14" w:rsidP="00AF1C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p w14:paraId="45F4E112" w14:textId="616F7914" w:rsidR="00AF1C14" w:rsidRPr="004017E2" w:rsidRDefault="00AF1C14" w:rsidP="00AF1C14">
      <w:pPr>
        <w:spacing w:after="0" w:line="240" w:lineRule="auto"/>
        <w:ind w:left="5760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  <w:r w:rsidRPr="004017E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  <w:t xml:space="preserve">  Odobrio/la:</w:t>
      </w:r>
    </w:p>
    <w:p w14:paraId="111A9A41" w14:textId="77777777" w:rsidR="00AF1C14" w:rsidRPr="004017E2" w:rsidRDefault="00AF1C14" w:rsidP="00E30E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hr-HR"/>
        </w:rPr>
      </w:pPr>
    </w:p>
    <w:sectPr w:rsidR="00AF1C14" w:rsidRPr="004017E2">
      <w:footerReference w:type="even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12BABE" w14:textId="77777777" w:rsidR="00051311" w:rsidRDefault="00051311" w:rsidP="00BE17DB">
      <w:pPr>
        <w:spacing w:after="0" w:line="240" w:lineRule="auto"/>
      </w:pPr>
      <w:r>
        <w:separator/>
      </w:r>
    </w:p>
  </w:endnote>
  <w:endnote w:type="continuationSeparator" w:id="0">
    <w:p w14:paraId="3DD5EA4B" w14:textId="77777777" w:rsidR="00051311" w:rsidRDefault="00051311" w:rsidP="00BE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3EE1C" w14:textId="77777777" w:rsidR="001015AA" w:rsidRDefault="001015AA" w:rsidP="00433D9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0A27BCA" w14:textId="77777777" w:rsidR="001015AA" w:rsidRDefault="001015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D18362" w14:textId="5EA9F8CE" w:rsidR="001015AA" w:rsidRPr="00170187" w:rsidRDefault="00035FCD">
    <w:pPr>
      <w:pStyle w:val="Footer"/>
      <w:jc w:val="center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Stranica</w:t>
    </w:r>
    <w:r w:rsidR="001015AA" w:rsidRPr="00170187">
      <w:rPr>
        <w:rFonts w:ascii="Times New Roman" w:hAnsi="Times New Roman" w:cs="Times New Roman"/>
        <w:sz w:val="18"/>
        <w:szCs w:val="18"/>
      </w:rPr>
      <w:t xml:space="preserve"> </w:t>
    </w:r>
    <w:r w:rsidR="001015AA" w:rsidRPr="00170187">
      <w:rPr>
        <w:rFonts w:ascii="Times New Roman" w:hAnsi="Times New Roman" w:cs="Times New Roman"/>
        <w:b/>
        <w:bCs/>
        <w:sz w:val="18"/>
        <w:szCs w:val="18"/>
      </w:rPr>
      <w:fldChar w:fldCharType="begin"/>
    </w:r>
    <w:r w:rsidR="001015AA" w:rsidRPr="00170187">
      <w:rPr>
        <w:rFonts w:ascii="Times New Roman" w:hAnsi="Times New Roman" w:cs="Times New Roman"/>
        <w:b/>
        <w:bCs/>
        <w:sz w:val="18"/>
        <w:szCs w:val="18"/>
      </w:rPr>
      <w:instrText xml:space="preserve"> PAGE </w:instrText>
    </w:r>
    <w:r w:rsidR="001015AA" w:rsidRPr="00170187">
      <w:rPr>
        <w:rFonts w:ascii="Times New Roman" w:hAnsi="Times New Roman" w:cs="Times New Roman"/>
        <w:b/>
        <w:bCs/>
        <w:sz w:val="18"/>
        <w:szCs w:val="18"/>
      </w:rPr>
      <w:fldChar w:fldCharType="separate"/>
    </w:r>
    <w:r w:rsidR="00D520FC">
      <w:rPr>
        <w:rFonts w:ascii="Times New Roman" w:hAnsi="Times New Roman" w:cs="Times New Roman"/>
        <w:b/>
        <w:bCs/>
        <w:noProof/>
        <w:sz w:val="18"/>
        <w:szCs w:val="18"/>
      </w:rPr>
      <w:t>2</w:t>
    </w:r>
    <w:r w:rsidR="001015AA" w:rsidRPr="00170187">
      <w:rPr>
        <w:rFonts w:ascii="Times New Roman" w:hAnsi="Times New Roman" w:cs="Times New Roman"/>
        <w:b/>
        <w:bCs/>
        <w:sz w:val="18"/>
        <w:szCs w:val="18"/>
      </w:rPr>
      <w:fldChar w:fldCharType="end"/>
    </w:r>
    <w:r>
      <w:rPr>
        <w:rFonts w:ascii="Times New Roman" w:hAnsi="Times New Roman" w:cs="Times New Roman"/>
        <w:sz w:val="18"/>
        <w:szCs w:val="18"/>
      </w:rPr>
      <w:t xml:space="preserve"> </w:t>
    </w:r>
  </w:p>
  <w:p w14:paraId="39A9FCB3" w14:textId="33DE552A" w:rsidR="001015AA" w:rsidRPr="00170187" w:rsidRDefault="00035FCD" w:rsidP="00035FCD">
    <w:pPr>
      <w:pStyle w:val="Footer"/>
      <w:tabs>
        <w:tab w:val="clear" w:pos="4680"/>
        <w:tab w:val="clear" w:pos="9360"/>
        <w:tab w:val="left" w:pos="6870"/>
      </w:tabs>
      <w:rPr>
        <w:sz w:val="20"/>
        <w:szCs w:val="20"/>
        <w:lang w:val="hr-HR"/>
      </w:rPr>
    </w:pPr>
    <w:r>
      <w:rPr>
        <w:sz w:val="20"/>
        <w:szCs w:val="20"/>
        <w:lang w:val="hr-H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080AAC" w14:textId="77777777" w:rsidR="00051311" w:rsidRDefault="00051311" w:rsidP="00BE17DB">
      <w:pPr>
        <w:spacing w:after="0" w:line="240" w:lineRule="auto"/>
      </w:pPr>
      <w:r>
        <w:separator/>
      </w:r>
    </w:p>
  </w:footnote>
  <w:footnote w:type="continuationSeparator" w:id="0">
    <w:p w14:paraId="2870E8E3" w14:textId="77777777" w:rsidR="00051311" w:rsidRDefault="00051311" w:rsidP="00BE17DB">
      <w:pPr>
        <w:spacing w:after="0" w:line="240" w:lineRule="auto"/>
      </w:pPr>
      <w:r>
        <w:continuationSeparator/>
      </w:r>
    </w:p>
  </w:footnote>
  <w:footnote w:id="1">
    <w:p w14:paraId="4A22683C" w14:textId="0A8CCAC2" w:rsidR="00F65CBD" w:rsidRPr="00F65CBD" w:rsidRDefault="00F65CBD" w:rsidP="00EC43B5">
      <w:pPr>
        <w:pStyle w:val="doc-ti"/>
        <w:spacing w:before="0" w:after="0"/>
        <w:jc w:val="both"/>
        <w:rPr>
          <w:rFonts w:eastAsiaTheme="minorHAnsi"/>
          <w:b w:val="0"/>
          <w:bCs w:val="0"/>
          <w:sz w:val="20"/>
          <w:szCs w:val="20"/>
          <w:lang w:eastAsia="en-US"/>
        </w:rPr>
      </w:pPr>
      <w:r w:rsidRPr="00EC43B5">
        <w:rPr>
          <w:rStyle w:val="FootnoteReference"/>
          <w:b w:val="0"/>
        </w:rPr>
        <w:footnoteRef/>
      </w:r>
      <w:r w:rsidRPr="00EC43B5">
        <w:rPr>
          <w:b w:val="0"/>
        </w:rPr>
        <w:t xml:space="preserve"> 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Ref. </w:t>
      </w:r>
      <w:r w:rsidR="002A01F2">
        <w:rPr>
          <w:rFonts w:eastAsiaTheme="minorHAnsi"/>
          <w:b w:val="0"/>
          <w:bCs w:val="0"/>
          <w:sz w:val="20"/>
          <w:szCs w:val="20"/>
          <w:lang w:eastAsia="en-US"/>
        </w:rPr>
        <w:t>Provedbena Uredba Komisije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(EU) 2015/207 оd 20. siječnja 2015. o utvrđivanju detaljnih pravila za provedbu Uredbe (EU) br. 1303/2013 Europskog parlamenta i Vijeća u pogledu modela za izvješće o napretku, dostavljanj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u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informacija o velikom projektu, zajedničk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om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akcijsk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om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plan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u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>, izvješć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u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o provedbi za cilj „Ulaganje za rast i radna mjesta”, izjav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i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o upravljanju, revizijsk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oj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strategij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i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>, revizorsko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m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mišljenj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u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i godišnje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m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izvješć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u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o kontroli, kao i metodologij</w:t>
      </w:r>
      <w:r w:rsidR="008C6F3E">
        <w:rPr>
          <w:rFonts w:eastAsiaTheme="minorHAnsi"/>
          <w:b w:val="0"/>
          <w:bCs w:val="0"/>
          <w:sz w:val="20"/>
          <w:szCs w:val="20"/>
          <w:lang w:eastAsia="en-US"/>
        </w:rPr>
        <w:t>i</w:t>
      </w:r>
      <w:r w:rsidRPr="00F65CBD">
        <w:rPr>
          <w:rFonts w:eastAsiaTheme="minorHAnsi"/>
          <w:b w:val="0"/>
          <w:bCs w:val="0"/>
          <w:sz w:val="20"/>
          <w:szCs w:val="20"/>
          <w:lang w:eastAsia="en-US"/>
        </w:rPr>
        <w:t xml:space="preserve"> za provođenje analize troškova i koristi te u skladu s Uredbom (EU) br. 1299/2013 Europskog parlamenta i Vijeća u pogledu modela za izvješća o provedbi za cilj „Europska teritorijalna suradnja”</w:t>
      </w:r>
    </w:p>
    <w:p w14:paraId="71507680" w14:textId="51116AF1" w:rsidR="00F65CBD" w:rsidRPr="00F65CBD" w:rsidRDefault="00F65CBD">
      <w:pPr>
        <w:pStyle w:val="FootnoteText"/>
        <w:rPr>
          <w:lang w:val="hr-HR"/>
        </w:rPr>
      </w:pPr>
    </w:p>
  </w:footnote>
  <w:footnote w:id="2">
    <w:p w14:paraId="43C9B516" w14:textId="4E22F1CC" w:rsidR="001015AA" w:rsidRPr="00AE011D" w:rsidRDefault="001015AA" w:rsidP="00B4369D">
      <w:pPr>
        <w:pStyle w:val="FootnoteText"/>
        <w:jc w:val="both"/>
        <w:rPr>
          <w:rFonts w:ascii="Times New Roman" w:hAnsi="Times New Roman" w:cs="Times New Roman"/>
          <w:lang w:val="hr-HR"/>
        </w:rPr>
      </w:pPr>
      <w:r w:rsidRPr="00AE011D">
        <w:rPr>
          <w:rStyle w:val="FootnoteReference"/>
          <w:rFonts w:ascii="Times New Roman" w:hAnsi="Times New Roman" w:cs="Times New Roman"/>
          <w:lang w:val="hr-HR"/>
        </w:rPr>
        <w:footnoteRef/>
      </w:r>
      <w:r w:rsidRPr="00AE011D">
        <w:rPr>
          <w:rFonts w:ascii="Times New Roman" w:hAnsi="Times New Roman" w:cs="Times New Roman"/>
          <w:lang w:val="hr-HR"/>
        </w:rPr>
        <w:t xml:space="preserve"> Ref. tablica usklađenih izdataka – Dodatak 8 Prilog</w:t>
      </w:r>
      <w:r w:rsidR="004F2D47">
        <w:rPr>
          <w:rFonts w:ascii="Times New Roman" w:hAnsi="Times New Roman" w:cs="Times New Roman"/>
          <w:lang w:val="hr-HR"/>
        </w:rPr>
        <w:t>u</w:t>
      </w:r>
      <w:r w:rsidRPr="00AE011D">
        <w:rPr>
          <w:rFonts w:ascii="Times New Roman" w:hAnsi="Times New Roman" w:cs="Times New Roman"/>
          <w:lang w:val="hr-HR"/>
        </w:rPr>
        <w:t xml:space="preserve"> VII Provedbene Uredbe Komisije (PUK) </w:t>
      </w:r>
      <w:r w:rsidR="007F304A">
        <w:rPr>
          <w:rFonts w:ascii="Times New Roman" w:hAnsi="Times New Roman" w:cs="Times New Roman"/>
          <w:lang w:val="hr-HR"/>
        </w:rPr>
        <w:t>(EU) b</w:t>
      </w:r>
      <w:r w:rsidRPr="00AE011D">
        <w:rPr>
          <w:rFonts w:ascii="Times New Roman" w:hAnsi="Times New Roman" w:cs="Times New Roman"/>
          <w:lang w:val="hr-HR"/>
        </w:rPr>
        <w:t>r</w:t>
      </w:r>
      <w:r w:rsidR="00AB5526">
        <w:rPr>
          <w:rFonts w:ascii="Times New Roman" w:hAnsi="Times New Roman" w:cs="Times New Roman"/>
          <w:lang w:val="hr-HR"/>
        </w:rPr>
        <w:t>.</w:t>
      </w:r>
      <w:r w:rsidRPr="00AE011D">
        <w:rPr>
          <w:rFonts w:ascii="Times New Roman" w:hAnsi="Times New Roman" w:cs="Times New Roman"/>
          <w:lang w:val="hr-HR"/>
        </w:rPr>
        <w:t xml:space="preserve"> 1011/2014).</w:t>
      </w:r>
    </w:p>
  </w:footnote>
  <w:footnote w:id="3">
    <w:p w14:paraId="18D6F99B" w14:textId="77777777" w:rsidR="001015AA" w:rsidRPr="003F4BD3" w:rsidRDefault="001015AA" w:rsidP="003F4BD3">
      <w:pPr>
        <w:pStyle w:val="FootnoteText"/>
        <w:jc w:val="both"/>
        <w:rPr>
          <w:rFonts w:ascii="Times New Roman" w:hAnsi="Times New Roman" w:cs="Times New Roman"/>
          <w:lang w:val="lv-LV"/>
        </w:rPr>
      </w:pPr>
      <w:r w:rsidRPr="003F4BD3">
        <w:rPr>
          <w:rStyle w:val="FootnoteReference"/>
          <w:rFonts w:ascii="Times New Roman" w:hAnsi="Times New Roman" w:cs="Times New Roman"/>
        </w:rPr>
        <w:footnoteRef/>
      </w:r>
      <w:r w:rsidRPr="003F4BD3">
        <w:rPr>
          <w:rFonts w:ascii="Times New Roman" w:hAnsi="Times New Roman" w:cs="Times New Roman"/>
        </w:rPr>
        <w:t xml:space="preserve"> </w:t>
      </w:r>
      <w:r w:rsidR="00E13CF1" w:rsidRPr="00AE011D">
        <w:rPr>
          <w:rFonts w:ascii="Times New Roman" w:hAnsi="Times New Roman" w:cs="Times New Roman"/>
          <w:lang w:val="lv-LV"/>
        </w:rPr>
        <w:t>Ovaj odjeljak uključen je u obrazac GS-a OPKK kao dodatak odjeljcima koje je predložila Komisija u obrascu priloženom u Smjernici za države članice o sastavljanju Izjave o upravljanju i Godišnje sažetka od 19. kolovoza 2015. zbog sljedećih razloga: (1) narativni dio Smjernice zahtijeva da se u GS-u vide SVE revizije, kontrole i provjere provedene tijekom računovodstvene godine ili koje se tiču izdataka prijavljenih tijekom računovodstvene godine (uključujući one povezane s nadzorom delegiranih funkcija), a Komisijin predloženi obrazac uključuje samo 2 kontrole – revizije TR-a/NRT-a i upravljačke provjere PT-a 2; (2) Smjernica zahtijeva usklađivanje ispravljenih iznosa koji su rezultirali iz revizija/kontrola/provjera popisanih u GS-u s podacima u godišnjim računima (</w:t>
      </w:r>
      <w:r w:rsidR="002E2665">
        <w:rPr>
          <w:rFonts w:ascii="Times New Roman" w:hAnsi="Times New Roman" w:cs="Times New Roman"/>
          <w:lang w:val="lv-LV"/>
        </w:rPr>
        <w:t>Provedbena Uredba Komisije</w:t>
      </w:r>
      <w:r w:rsidR="00E13CF1" w:rsidRPr="00AE011D">
        <w:rPr>
          <w:rFonts w:ascii="Times New Roman" w:hAnsi="Times New Roman" w:cs="Times New Roman"/>
          <w:lang w:val="lv-LV"/>
        </w:rPr>
        <w:t xml:space="preserve"> (EU)</w:t>
      </w:r>
      <w:r w:rsidR="005B79E5">
        <w:rPr>
          <w:rFonts w:ascii="Times New Roman" w:hAnsi="Times New Roman" w:cs="Times New Roman"/>
          <w:lang w:val="lv-LV"/>
        </w:rPr>
        <w:t xml:space="preserve"> br. 1011/2014 (Dodatak 8 Priloga</w:t>
      </w:r>
      <w:r w:rsidR="00E13CF1" w:rsidRPr="00AE011D">
        <w:rPr>
          <w:rFonts w:ascii="Times New Roman" w:hAnsi="Times New Roman" w:cs="Times New Roman"/>
          <w:lang w:val="lv-LV"/>
        </w:rPr>
        <w:t xml:space="preserve"> VII)), a  uredba (dodatak) zahtijeva SVE “iznose ispravljene u računima” nakon što su zahtjevi za plaćanje podneseni Komisiji. Ispravci se također mogu pojaviti kao rezultati PRS-ova koje provodi UT. Stoga se i druge kontrole, uz revizije TR-a/NRT-a i upravljačke provjere PT-a 2, moraju odražavati u GS-u</w:t>
      </w:r>
    </w:p>
  </w:footnote>
  <w:footnote w:id="4">
    <w:p w14:paraId="0A32815C" w14:textId="71532B3A" w:rsidR="001015AA" w:rsidRPr="00AE011D" w:rsidRDefault="001015AA" w:rsidP="003F4BD3">
      <w:pPr>
        <w:pStyle w:val="FootnoteText"/>
        <w:jc w:val="both"/>
        <w:rPr>
          <w:rFonts w:ascii="Times New Roman" w:hAnsi="Times New Roman" w:cs="Times New Roman"/>
          <w:lang w:val="hr-HR"/>
        </w:rPr>
      </w:pPr>
      <w:r w:rsidRPr="002D12FE">
        <w:rPr>
          <w:rStyle w:val="FootnoteReference"/>
          <w:rFonts w:ascii="Times New Roman" w:hAnsi="Times New Roman" w:cs="Times New Roman"/>
        </w:rPr>
        <w:footnoteRef/>
      </w:r>
      <w:r w:rsidR="00E13CF1">
        <w:rPr>
          <w:rFonts w:ascii="Times New Roman" w:hAnsi="Times New Roman" w:cs="Times New Roman"/>
          <w:lang w:val="lv-LV"/>
        </w:rPr>
        <w:t>Odjeljak</w:t>
      </w:r>
      <w:r>
        <w:rPr>
          <w:rFonts w:ascii="Times New Roman" w:hAnsi="Times New Roman" w:cs="Times New Roman"/>
          <w:lang w:val="lv-LV"/>
        </w:rPr>
        <w:t xml:space="preserve"> </w:t>
      </w:r>
      <w:r w:rsidR="00E13CF1">
        <w:rPr>
          <w:rFonts w:ascii="Times New Roman" w:hAnsi="Times New Roman" w:cs="Times New Roman"/>
          <w:lang w:val="lv-LV"/>
        </w:rPr>
        <w:t>može biti isključen iz obrazca u slučaju da u trenutku izrade</w:t>
      </w:r>
      <w:r w:rsidR="00636B51">
        <w:rPr>
          <w:rFonts w:ascii="Times New Roman" w:hAnsi="Times New Roman" w:cs="Times New Roman"/>
          <w:lang w:val="lv-LV"/>
        </w:rPr>
        <w:t xml:space="preserve"> nacrta</w:t>
      </w:r>
      <w:r w:rsidR="00E13CF1">
        <w:rPr>
          <w:rFonts w:ascii="Times New Roman" w:hAnsi="Times New Roman" w:cs="Times New Roman"/>
          <w:lang w:val="lv-LV"/>
        </w:rPr>
        <w:t xml:space="preserve"> prvog Godišnjeg sažetka OPKK relevantne kontrolne liste za ex-ante provjere nisu izrađene i/ili </w:t>
      </w:r>
      <w:r w:rsidR="00636B51">
        <w:rPr>
          <w:rFonts w:ascii="Times New Roman" w:hAnsi="Times New Roman" w:cs="Times New Roman"/>
          <w:lang w:val="lv-LV"/>
        </w:rPr>
        <w:t>upotrijebljene</w:t>
      </w:r>
      <w:r w:rsidR="00E13CF1">
        <w:rPr>
          <w:rFonts w:ascii="Times New Roman" w:hAnsi="Times New Roman" w:cs="Times New Roman"/>
          <w:lang w:val="lv-LV"/>
        </w:rPr>
        <w:t xml:space="preserve">, tj, ako nisu prikupljeni relevantni podaci. </w:t>
      </w:r>
    </w:p>
  </w:footnote>
  <w:footnote w:id="5">
    <w:p w14:paraId="4E9955ED" w14:textId="77777777" w:rsidR="001015AA" w:rsidRPr="00AE011D" w:rsidRDefault="001015AA" w:rsidP="00F443A1">
      <w:pPr>
        <w:pStyle w:val="FootnoteText"/>
        <w:jc w:val="both"/>
        <w:rPr>
          <w:rFonts w:ascii="Times New Roman" w:hAnsi="Times New Roman" w:cs="Times New Roman"/>
          <w:lang w:val="hr-HR"/>
        </w:rPr>
      </w:pPr>
      <w:r w:rsidRPr="00AE011D">
        <w:rPr>
          <w:rStyle w:val="FootnoteReference"/>
          <w:rFonts w:ascii="Times New Roman" w:hAnsi="Times New Roman" w:cs="Times New Roman"/>
          <w:lang w:val="hr-HR"/>
        </w:rPr>
        <w:footnoteRef/>
      </w:r>
      <w:r w:rsidRPr="00AE011D">
        <w:rPr>
          <w:rFonts w:ascii="Times New Roman" w:hAnsi="Times New Roman" w:cs="Times New Roman"/>
          <w:lang w:val="hr-HR"/>
        </w:rPr>
        <w:t xml:space="preserve"> </w:t>
      </w:r>
      <w:r w:rsidR="00E13CF1" w:rsidRPr="00AE011D">
        <w:rPr>
          <w:rFonts w:ascii="Times New Roman" w:hAnsi="Times New Roman" w:cs="Times New Roman"/>
          <w:lang w:val="hr-HR"/>
        </w:rPr>
        <w:t>Npr</w:t>
      </w:r>
      <w:r w:rsidRPr="00AE011D">
        <w:rPr>
          <w:rFonts w:ascii="Times New Roman" w:hAnsi="Times New Roman" w:cs="Times New Roman"/>
          <w:lang w:val="hr-HR"/>
        </w:rPr>
        <w:t xml:space="preserve">. </w:t>
      </w:r>
      <w:r w:rsidR="00E13CF1" w:rsidRPr="00AE011D">
        <w:rPr>
          <w:rFonts w:ascii="Times New Roman" w:hAnsi="Times New Roman" w:cs="Times New Roman"/>
          <w:lang w:val="hr-HR"/>
        </w:rPr>
        <w:t>pogreške /nepravilnosti otkrivene tijekom provjera strateških/velikih projektnih prijava, itd.</w:t>
      </w:r>
    </w:p>
  </w:footnote>
  <w:footnote w:id="6">
    <w:p w14:paraId="6B824514" w14:textId="77777777" w:rsidR="001015AA" w:rsidRPr="00AE011D" w:rsidRDefault="001015AA" w:rsidP="00165EEC">
      <w:pPr>
        <w:pStyle w:val="FootnoteText"/>
        <w:jc w:val="both"/>
        <w:rPr>
          <w:rFonts w:ascii="Times New Roman" w:hAnsi="Times New Roman" w:cs="Times New Roman"/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5348FE" w:rsidRPr="00AE011D">
        <w:rPr>
          <w:rFonts w:ascii="Times New Roman" w:hAnsi="Times New Roman" w:cs="Times New Roman"/>
          <w:lang w:val="hr-HR"/>
        </w:rPr>
        <w:t>Ovaj odjeljak uključen je u obrazac GS-a OPKK kao dodatak odjeljcima koje je predložila Komisija u obrascu priloženom u Smjernici za države članice o sastavljanju Izjave o upravljanju i Godišnje sažetka od 19. kolovoza 2015. zbog sljedećih razloga: (1) narativni dio Smjernice zahtijeva da se u GS-u vide SVE revizije, kontrole i provjere provedene tijekom računovodstvene godine ili koje se tiču izdataka prijavljenih tijekom računovodstvene godine, a Komisijin predloženi obrazac uključuje samo 2 kontrole – revizije TR-a/NRT-a i upravljačke provjere PT-a 2; (2) Smjernica zahtijeva usklađivanje ispravljenih iznosa koji su rezultirali iz revizija/kontrola/provjera popisanih u GS-u s podacima u godišnjim računima (</w:t>
      </w:r>
      <w:r w:rsidR="002E2665">
        <w:rPr>
          <w:rFonts w:ascii="Times New Roman" w:hAnsi="Times New Roman" w:cs="Times New Roman"/>
          <w:lang w:val="hr-HR"/>
        </w:rPr>
        <w:t>Provedbena Uredba Komisije</w:t>
      </w:r>
      <w:r w:rsidR="005348FE" w:rsidRPr="00AE011D">
        <w:rPr>
          <w:rFonts w:ascii="Times New Roman" w:hAnsi="Times New Roman" w:cs="Times New Roman"/>
          <w:lang w:val="hr-HR"/>
        </w:rPr>
        <w:t xml:space="preserve"> (EU</w:t>
      </w:r>
      <w:r w:rsidR="00F009E3">
        <w:rPr>
          <w:rFonts w:ascii="Times New Roman" w:hAnsi="Times New Roman" w:cs="Times New Roman"/>
          <w:lang w:val="hr-HR"/>
        </w:rPr>
        <w:t>) br. 1011/2014 (Dodatak 8 Prilog</w:t>
      </w:r>
      <w:r w:rsidR="005348FE" w:rsidRPr="00AE011D">
        <w:rPr>
          <w:rFonts w:ascii="Times New Roman" w:hAnsi="Times New Roman" w:cs="Times New Roman"/>
          <w:lang w:val="hr-HR"/>
        </w:rPr>
        <w:t>a VII)). Kasnije se traži prikaz SVIH “iznosa ispravljenih u računima” nakon što su zahtjevi za plaćanje podneseni Komisiji. Ispravci se također mogu pojaviti kao rezultati</w:t>
      </w:r>
      <w:r w:rsidR="005348FE" w:rsidRPr="00AE011D" w:rsidDel="005348FE">
        <w:rPr>
          <w:rFonts w:ascii="Times New Roman" w:hAnsi="Times New Roman" w:cs="Times New Roman"/>
          <w:lang w:val="hr-HR"/>
        </w:rPr>
        <w:t xml:space="preserve"> </w:t>
      </w:r>
      <w:r w:rsidR="005348FE" w:rsidRPr="00AE011D">
        <w:rPr>
          <w:rFonts w:ascii="Times New Roman" w:hAnsi="Times New Roman" w:cs="Times New Roman"/>
          <w:lang w:val="hr-HR"/>
        </w:rPr>
        <w:t>revizija drugih revizija, uz revizije koje je provelo TR/NRT (npr. ERS ili DG REGIO). Stoga i druge revizije/kontrole, uz revizije TR-a/NTR-a i upravljačke provjere PT-a 2 moraju biti vidljive u GS-u.</w:t>
      </w:r>
    </w:p>
    <w:p w14:paraId="7FA10440" w14:textId="77777777" w:rsidR="001015AA" w:rsidRPr="00AE011D" w:rsidRDefault="001015AA">
      <w:pPr>
        <w:pStyle w:val="FootnoteText"/>
        <w:rPr>
          <w:lang w:val="hr-HR"/>
        </w:rPr>
      </w:pPr>
    </w:p>
  </w:footnote>
  <w:footnote w:id="7">
    <w:p w14:paraId="5F2D1258" w14:textId="77777777" w:rsidR="009D3DC5" w:rsidRPr="00AE011D" w:rsidRDefault="001015AA" w:rsidP="00AE011D">
      <w:pPr>
        <w:pStyle w:val="FootnoteText"/>
        <w:jc w:val="both"/>
        <w:rPr>
          <w:rFonts w:ascii="Times New Roman" w:hAnsi="Times New Roman" w:cs="Times New Roman"/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="009D3DC5" w:rsidRPr="00AE011D">
        <w:rPr>
          <w:rFonts w:ascii="Times New Roman" w:hAnsi="Times New Roman" w:cs="Times New Roman"/>
          <w:lang w:val="hr-HR"/>
        </w:rPr>
        <w:t>Obrazac GS-a OPKK prikazuje dva iznosa izdataka “ispravljenih u računima” p</w:t>
      </w:r>
      <w:r w:rsidR="009D3DC5">
        <w:rPr>
          <w:rFonts w:ascii="Times New Roman" w:hAnsi="Times New Roman" w:cs="Times New Roman"/>
          <w:lang w:val="hr-HR"/>
        </w:rPr>
        <w:t>rije i poslije podnošenja</w:t>
      </w:r>
      <w:r w:rsidR="009D3DC5" w:rsidRPr="00AE011D">
        <w:rPr>
          <w:rFonts w:ascii="Times New Roman" w:hAnsi="Times New Roman" w:cs="Times New Roman"/>
          <w:lang w:val="hr-HR"/>
        </w:rPr>
        <w:t xml:space="preserve"> zahtjeva za plaćanje Komisiji – (1) “ispravljeni iznosi” koji rezultiraju </w:t>
      </w:r>
      <w:r w:rsidR="009D3DC5" w:rsidRPr="009D3DC5">
        <w:rPr>
          <w:rFonts w:ascii="Times New Roman" w:hAnsi="Times New Roman" w:cs="Times New Roman"/>
          <w:lang w:val="hr-HR"/>
        </w:rPr>
        <w:t>posebno</w:t>
      </w:r>
      <w:r w:rsidR="009D3DC5" w:rsidRPr="00AE011D">
        <w:rPr>
          <w:rFonts w:ascii="Times New Roman" w:hAnsi="Times New Roman" w:cs="Times New Roman"/>
          <w:lang w:val="hr-HR"/>
        </w:rPr>
        <w:t xml:space="preserve"> iz revizija operacija TR-a (u tablici 1) i (2) ukupni “ispravljeni iznosi” koji rezultiraju iz SVIH kontrola/revizija/provjera (tablica 6), a obrazac GS-a koji je predložila Komisija uključuje samo (1) “ispravljene iznosi” koji su rezultirali iz revizija TR-a/NTR-a i (2) “ispravljene iznosi” koji su rezultirali iz revizija TR-a/NTR-a i stoga ne prikazuje sve “ispravljene iznose”.</w:t>
      </w:r>
    </w:p>
    <w:p w14:paraId="5F25A6FD" w14:textId="77777777" w:rsidR="009D3DC5" w:rsidRPr="00AE011D" w:rsidRDefault="009D3DC5" w:rsidP="00AE011D">
      <w:pPr>
        <w:pStyle w:val="FootnoteText"/>
        <w:jc w:val="both"/>
        <w:rPr>
          <w:rFonts w:ascii="Times New Roman" w:hAnsi="Times New Roman" w:cs="Times New Roman"/>
          <w:lang w:val="hr-HR"/>
        </w:rPr>
      </w:pPr>
      <w:r w:rsidRPr="00AE011D">
        <w:rPr>
          <w:rFonts w:ascii="Times New Roman" w:hAnsi="Times New Roman" w:cs="Times New Roman"/>
          <w:lang w:val="hr-HR"/>
        </w:rPr>
        <w:t xml:space="preserve">Pristup obrascu GS-a OPKK drugačiji je od onoga koji je predložen u Smjernici jer pristup koji predlaže Smjernica ne omogućuje usklađenje između GS-a i Dodatka 8 godišnjim računima gdje su vidljivi ispravci koji rezultiraju iz svih revizija/kontrola/provjera specificiranje samo ispravljenih iznosa koji su rezultirali iz revizija operacija TR-a. </w:t>
      </w:r>
    </w:p>
    <w:p w14:paraId="42841CC4" w14:textId="77777777" w:rsidR="001015AA" w:rsidRPr="00AE011D" w:rsidRDefault="009D3DC5" w:rsidP="00AE011D">
      <w:pPr>
        <w:pStyle w:val="FootnoteText"/>
        <w:jc w:val="both"/>
        <w:rPr>
          <w:rFonts w:ascii="Times New Roman" w:hAnsi="Times New Roman" w:cs="Times New Roman"/>
          <w:lang w:val="hr-HR"/>
        </w:rPr>
      </w:pPr>
      <w:r w:rsidRPr="00AE011D">
        <w:rPr>
          <w:rFonts w:ascii="Times New Roman" w:hAnsi="Times New Roman" w:cs="Times New Roman"/>
          <w:lang w:val="hr-HR"/>
        </w:rPr>
        <w:t>Obrazac GS-a OPKK je potpuno usklađen i sa zahtjev</w:t>
      </w:r>
      <w:r w:rsidR="00F009E3">
        <w:rPr>
          <w:rFonts w:ascii="Times New Roman" w:hAnsi="Times New Roman" w:cs="Times New Roman"/>
          <w:lang w:val="hr-HR"/>
        </w:rPr>
        <w:t>ima Provedbene Uredbe Komisije</w:t>
      </w:r>
      <w:r w:rsidRPr="00AE011D">
        <w:rPr>
          <w:rFonts w:ascii="Times New Roman" w:hAnsi="Times New Roman" w:cs="Times New Roman"/>
          <w:lang w:val="hr-HR"/>
        </w:rPr>
        <w:t xml:space="preserve"> br. 1011/2014 i sa zahtjevima narativnog dijela Smjernica za države članice o sastavljanju Izjave o upravljanju i Godišnjeg sažetka, a razlikuje se od neobvezujućeg obrasca GS-a kojeg je predložila Komisija i priložen je uz Smjernicu.</w:t>
      </w:r>
    </w:p>
  </w:footnote>
  <w:footnote w:id="8">
    <w:p w14:paraId="61505169" w14:textId="77777777" w:rsidR="001015AA" w:rsidRPr="003F4BD3" w:rsidRDefault="001015AA" w:rsidP="003B575D">
      <w:pPr>
        <w:pStyle w:val="FootnoteText"/>
        <w:rPr>
          <w:rFonts w:ascii="Times New Roman" w:hAnsi="Times New Roman" w:cs="Times New Roman"/>
          <w:lang w:val="lv-LV"/>
        </w:rPr>
      </w:pPr>
      <w:r w:rsidRPr="003F4BD3">
        <w:rPr>
          <w:rStyle w:val="FootnoteReference"/>
          <w:rFonts w:ascii="Times New Roman" w:hAnsi="Times New Roman" w:cs="Times New Roman"/>
        </w:rPr>
        <w:footnoteRef/>
      </w:r>
      <w:r w:rsidRPr="003F4BD3">
        <w:rPr>
          <w:rFonts w:ascii="Times New Roman" w:hAnsi="Times New Roman" w:cs="Times New Roman"/>
        </w:rPr>
        <w:t xml:space="preserve"> </w:t>
      </w:r>
      <w:r w:rsidR="008E3DD8" w:rsidRPr="00463FC5">
        <w:rPr>
          <w:rFonts w:ascii="Times New Roman" w:hAnsi="Times New Roman" w:cs="Times New Roman"/>
          <w:lang w:val="hr-HR"/>
        </w:rPr>
        <w:t>Ref. tablica usklađenih izdataka – Dodatak 8 Priloga VII Provedbene Uredbe Komisije (PUK) Br 1011/2014).</w:t>
      </w:r>
      <w:r w:rsidRPr="003F4BD3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C173E3"/>
    <w:multiLevelType w:val="hybridMultilevel"/>
    <w:tmpl w:val="4D44A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41FD1"/>
    <w:multiLevelType w:val="hybridMultilevel"/>
    <w:tmpl w:val="340645B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5B6E1E"/>
    <w:multiLevelType w:val="hybridMultilevel"/>
    <w:tmpl w:val="AF6EAE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B6248"/>
    <w:multiLevelType w:val="hybridMultilevel"/>
    <w:tmpl w:val="725A8334"/>
    <w:lvl w:ilvl="0" w:tplc="8482EE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665843"/>
    <w:multiLevelType w:val="hybridMultilevel"/>
    <w:tmpl w:val="079AF592"/>
    <w:lvl w:ilvl="0" w:tplc="CD3E499C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6F0192"/>
    <w:multiLevelType w:val="multilevel"/>
    <w:tmpl w:val="3C7E3A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613089F"/>
    <w:multiLevelType w:val="hybridMultilevel"/>
    <w:tmpl w:val="C87263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17DB"/>
    <w:rsid w:val="0002078C"/>
    <w:rsid w:val="000207B3"/>
    <w:rsid w:val="00035FCD"/>
    <w:rsid w:val="00045C0F"/>
    <w:rsid w:val="00051311"/>
    <w:rsid w:val="00061277"/>
    <w:rsid w:val="000634C4"/>
    <w:rsid w:val="00073877"/>
    <w:rsid w:val="00073B0D"/>
    <w:rsid w:val="00073E83"/>
    <w:rsid w:val="0007515B"/>
    <w:rsid w:val="000A1927"/>
    <w:rsid w:val="000C095A"/>
    <w:rsid w:val="000E1D04"/>
    <w:rsid w:val="000E3677"/>
    <w:rsid w:val="000E6D41"/>
    <w:rsid w:val="000F117F"/>
    <w:rsid w:val="000F1ACF"/>
    <w:rsid w:val="000F4F0D"/>
    <w:rsid w:val="001015AA"/>
    <w:rsid w:val="001029D1"/>
    <w:rsid w:val="00104E5D"/>
    <w:rsid w:val="00113776"/>
    <w:rsid w:val="0011412D"/>
    <w:rsid w:val="001230F5"/>
    <w:rsid w:val="0014579D"/>
    <w:rsid w:val="0015084F"/>
    <w:rsid w:val="00152148"/>
    <w:rsid w:val="00153C71"/>
    <w:rsid w:val="001557F2"/>
    <w:rsid w:val="00165EEC"/>
    <w:rsid w:val="00170187"/>
    <w:rsid w:val="001744EE"/>
    <w:rsid w:val="00174ADE"/>
    <w:rsid w:val="0017523B"/>
    <w:rsid w:val="00187ECB"/>
    <w:rsid w:val="00190F45"/>
    <w:rsid w:val="001B0C2F"/>
    <w:rsid w:val="001C149E"/>
    <w:rsid w:val="001C1F7E"/>
    <w:rsid w:val="001D02AC"/>
    <w:rsid w:val="001E18D7"/>
    <w:rsid w:val="001F75BF"/>
    <w:rsid w:val="00201D45"/>
    <w:rsid w:val="002142E2"/>
    <w:rsid w:val="00223550"/>
    <w:rsid w:val="00225F11"/>
    <w:rsid w:val="00242500"/>
    <w:rsid w:val="00255806"/>
    <w:rsid w:val="0026243D"/>
    <w:rsid w:val="0027354C"/>
    <w:rsid w:val="00287599"/>
    <w:rsid w:val="00296CD5"/>
    <w:rsid w:val="002A01F2"/>
    <w:rsid w:val="002B0805"/>
    <w:rsid w:val="002D0C5B"/>
    <w:rsid w:val="002D12FE"/>
    <w:rsid w:val="002D1E70"/>
    <w:rsid w:val="002E2665"/>
    <w:rsid w:val="002F0A9B"/>
    <w:rsid w:val="003025E4"/>
    <w:rsid w:val="00303D6E"/>
    <w:rsid w:val="00335834"/>
    <w:rsid w:val="00380C5E"/>
    <w:rsid w:val="00381DB0"/>
    <w:rsid w:val="00385F12"/>
    <w:rsid w:val="00386F07"/>
    <w:rsid w:val="00387A1A"/>
    <w:rsid w:val="00397A04"/>
    <w:rsid w:val="003A305C"/>
    <w:rsid w:val="003B1C5B"/>
    <w:rsid w:val="003B575D"/>
    <w:rsid w:val="003C09AC"/>
    <w:rsid w:val="003C4195"/>
    <w:rsid w:val="003C7C72"/>
    <w:rsid w:val="003D6D8A"/>
    <w:rsid w:val="003D7FB1"/>
    <w:rsid w:val="003E167E"/>
    <w:rsid w:val="003F2231"/>
    <w:rsid w:val="003F4BD3"/>
    <w:rsid w:val="004017E2"/>
    <w:rsid w:val="00402BAC"/>
    <w:rsid w:val="00403E37"/>
    <w:rsid w:val="004129A3"/>
    <w:rsid w:val="0042298C"/>
    <w:rsid w:val="00425D90"/>
    <w:rsid w:val="004338F7"/>
    <w:rsid w:val="00433D95"/>
    <w:rsid w:val="004379CC"/>
    <w:rsid w:val="00482E56"/>
    <w:rsid w:val="0048340C"/>
    <w:rsid w:val="004837E2"/>
    <w:rsid w:val="00494998"/>
    <w:rsid w:val="00495C0A"/>
    <w:rsid w:val="00497569"/>
    <w:rsid w:val="004B20D0"/>
    <w:rsid w:val="004C08A8"/>
    <w:rsid w:val="004C31F5"/>
    <w:rsid w:val="004C52AA"/>
    <w:rsid w:val="004C6441"/>
    <w:rsid w:val="004D4699"/>
    <w:rsid w:val="004E41CA"/>
    <w:rsid w:val="004F2D47"/>
    <w:rsid w:val="004F5E22"/>
    <w:rsid w:val="004F73EA"/>
    <w:rsid w:val="00503A3D"/>
    <w:rsid w:val="00506557"/>
    <w:rsid w:val="005111F1"/>
    <w:rsid w:val="00532848"/>
    <w:rsid w:val="00532DFE"/>
    <w:rsid w:val="005347A0"/>
    <w:rsid w:val="005348FE"/>
    <w:rsid w:val="00535FAB"/>
    <w:rsid w:val="00544347"/>
    <w:rsid w:val="00545011"/>
    <w:rsid w:val="00554E79"/>
    <w:rsid w:val="00556008"/>
    <w:rsid w:val="00566568"/>
    <w:rsid w:val="00571A69"/>
    <w:rsid w:val="0058222B"/>
    <w:rsid w:val="005855B5"/>
    <w:rsid w:val="00594015"/>
    <w:rsid w:val="00597B87"/>
    <w:rsid w:val="005B2EDE"/>
    <w:rsid w:val="005B55E0"/>
    <w:rsid w:val="005B79E5"/>
    <w:rsid w:val="005C46BC"/>
    <w:rsid w:val="005D1BE5"/>
    <w:rsid w:val="005F3FC5"/>
    <w:rsid w:val="005F6876"/>
    <w:rsid w:val="00600272"/>
    <w:rsid w:val="00603426"/>
    <w:rsid w:val="00610DCE"/>
    <w:rsid w:val="00624D52"/>
    <w:rsid w:val="00631084"/>
    <w:rsid w:val="00636B51"/>
    <w:rsid w:val="00642DAB"/>
    <w:rsid w:val="00644786"/>
    <w:rsid w:val="00654496"/>
    <w:rsid w:val="006628F1"/>
    <w:rsid w:val="00673D2E"/>
    <w:rsid w:val="006827EA"/>
    <w:rsid w:val="006A29FC"/>
    <w:rsid w:val="006A6986"/>
    <w:rsid w:val="006B0012"/>
    <w:rsid w:val="006B01BA"/>
    <w:rsid w:val="006B02BA"/>
    <w:rsid w:val="006C0EB2"/>
    <w:rsid w:val="006C25CB"/>
    <w:rsid w:val="006C3470"/>
    <w:rsid w:val="006C7950"/>
    <w:rsid w:val="006E1D6F"/>
    <w:rsid w:val="006E4F3D"/>
    <w:rsid w:val="006F0F5C"/>
    <w:rsid w:val="00705927"/>
    <w:rsid w:val="007070DD"/>
    <w:rsid w:val="007108D6"/>
    <w:rsid w:val="00714868"/>
    <w:rsid w:val="00716CC6"/>
    <w:rsid w:val="00724505"/>
    <w:rsid w:val="0075066F"/>
    <w:rsid w:val="00754009"/>
    <w:rsid w:val="00757321"/>
    <w:rsid w:val="0076638D"/>
    <w:rsid w:val="00776654"/>
    <w:rsid w:val="00777BB2"/>
    <w:rsid w:val="0079350B"/>
    <w:rsid w:val="007A1CB3"/>
    <w:rsid w:val="007A4CED"/>
    <w:rsid w:val="007A5F2B"/>
    <w:rsid w:val="007B1ABF"/>
    <w:rsid w:val="007D1599"/>
    <w:rsid w:val="007D72E2"/>
    <w:rsid w:val="007E3004"/>
    <w:rsid w:val="007E3567"/>
    <w:rsid w:val="007F304A"/>
    <w:rsid w:val="007F41BA"/>
    <w:rsid w:val="008250D0"/>
    <w:rsid w:val="00826F8C"/>
    <w:rsid w:val="00830B51"/>
    <w:rsid w:val="00835B36"/>
    <w:rsid w:val="00846698"/>
    <w:rsid w:val="00854E7C"/>
    <w:rsid w:val="00856534"/>
    <w:rsid w:val="00872996"/>
    <w:rsid w:val="008738EE"/>
    <w:rsid w:val="00880904"/>
    <w:rsid w:val="00881A4C"/>
    <w:rsid w:val="008B5484"/>
    <w:rsid w:val="008B6A23"/>
    <w:rsid w:val="008C4F46"/>
    <w:rsid w:val="008C6F3E"/>
    <w:rsid w:val="008D4D5D"/>
    <w:rsid w:val="008D73FB"/>
    <w:rsid w:val="008D7F3D"/>
    <w:rsid w:val="008E3DD8"/>
    <w:rsid w:val="008E7120"/>
    <w:rsid w:val="008F63DE"/>
    <w:rsid w:val="00903018"/>
    <w:rsid w:val="00910ED9"/>
    <w:rsid w:val="00915D9A"/>
    <w:rsid w:val="00927153"/>
    <w:rsid w:val="0093491D"/>
    <w:rsid w:val="00962673"/>
    <w:rsid w:val="0096593D"/>
    <w:rsid w:val="009661CF"/>
    <w:rsid w:val="00966B4F"/>
    <w:rsid w:val="00970094"/>
    <w:rsid w:val="00971394"/>
    <w:rsid w:val="00972107"/>
    <w:rsid w:val="00974D16"/>
    <w:rsid w:val="009976D4"/>
    <w:rsid w:val="009C152B"/>
    <w:rsid w:val="009D3DC5"/>
    <w:rsid w:val="009E5535"/>
    <w:rsid w:val="009E5FC2"/>
    <w:rsid w:val="00A36E71"/>
    <w:rsid w:val="00A53F3A"/>
    <w:rsid w:val="00A559E9"/>
    <w:rsid w:val="00A616B7"/>
    <w:rsid w:val="00A72A01"/>
    <w:rsid w:val="00A73385"/>
    <w:rsid w:val="00A800CE"/>
    <w:rsid w:val="00A919BB"/>
    <w:rsid w:val="00A92DAD"/>
    <w:rsid w:val="00AA6180"/>
    <w:rsid w:val="00AA6598"/>
    <w:rsid w:val="00AB4924"/>
    <w:rsid w:val="00AB5526"/>
    <w:rsid w:val="00AB655E"/>
    <w:rsid w:val="00AD2F79"/>
    <w:rsid w:val="00AD45CB"/>
    <w:rsid w:val="00AE011D"/>
    <w:rsid w:val="00AF1C14"/>
    <w:rsid w:val="00AF2E00"/>
    <w:rsid w:val="00AF43FA"/>
    <w:rsid w:val="00B02961"/>
    <w:rsid w:val="00B04CBB"/>
    <w:rsid w:val="00B04D38"/>
    <w:rsid w:val="00B10F7C"/>
    <w:rsid w:val="00B214DA"/>
    <w:rsid w:val="00B22AC0"/>
    <w:rsid w:val="00B23BE9"/>
    <w:rsid w:val="00B3395C"/>
    <w:rsid w:val="00B35E65"/>
    <w:rsid w:val="00B37A7A"/>
    <w:rsid w:val="00B41B5D"/>
    <w:rsid w:val="00B4369D"/>
    <w:rsid w:val="00B56FDA"/>
    <w:rsid w:val="00B6636D"/>
    <w:rsid w:val="00BA42ED"/>
    <w:rsid w:val="00BA7006"/>
    <w:rsid w:val="00BB1C49"/>
    <w:rsid w:val="00BB3475"/>
    <w:rsid w:val="00BB6D81"/>
    <w:rsid w:val="00BD5EB6"/>
    <w:rsid w:val="00BE17DB"/>
    <w:rsid w:val="00BE3FEC"/>
    <w:rsid w:val="00BF442C"/>
    <w:rsid w:val="00BF4DBE"/>
    <w:rsid w:val="00BF65E7"/>
    <w:rsid w:val="00C177CF"/>
    <w:rsid w:val="00C26228"/>
    <w:rsid w:val="00C31521"/>
    <w:rsid w:val="00C40DB2"/>
    <w:rsid w:val="00C4262C"/>
    <w:rsid w:val="00C4434A"/>
    <w:rsid w:val="00C4486E"/>
    <w:rsid w:val="00C45B34"/>
    <w:rsid w:val="00C549B2"/>
    <w:rsid w:val="00C56E39"/>
    <w:rsid w:val="00C5750D"/>
    <w:rsid w:val="00C60BCE"/>
    <w:rsid w:val="00C800A4"/>
    <w:rsid w:val="00C8149F"/>
    <w:rsid w:val="00C83BFC"/>
    <w:rsid w:val="00C870B4"/>
    <w:rsid w:val="00C92DDF"/>
    <w:rsid w:val="00C93010"/>
    <w:rsid w:val="00C94B39"/>
    <w:rsid w:val="00CA44DB"/>
    <w:rsid w:val="00CC4CC5"/>
    <w:rsid w:val="00CC6715"/>
    <w:rsid w:val="00CC6E9D"/>
    <w:rsid w:val="00CD186F"/>
    <w:rsid w:val="00CD3763"/>
    <w:rsid w:val="00CD3939"/>
    <w:rsid w:val="00CE3272"/>
    <w:rsid w:val="00CE3C1F"/>
    <w:rsid w:val="00CE4224"/>
    <w:rsid w:val="00CE4251"/>
    <w:rsid w:val="00D20212"/>
    <w:rsid w:val="00D20547"/>
    <w:rsid w:val="00D26563"/>
    <w:rsid w:val="00D520FC"/>
    <w:rsid w:val="00D62BE9"/>
    <w:rsid w:val="00D71FC0"/>
    <w:rsid w:val="00D74870"/>
    <w:rsid w:val="00D812B7"/>
    <w:rsid w:val="00D91967"/>
    <w:rsid w:val="00DB4311"/>
    <w:rsid w:val="00DB624A"/>
    <w:rsid w:val="00DB68D3"/>
    <w:rsid w:val="00DD02E6"/>
    <w:rsid w:val="00DD2F20"/>
    <w:rsid w:val="00DD3314"/>
    <w:rsid w:val="00DF5225"/>
    <w:rsid w:val="00E053EF"/>
    <w:rsid w:val="00E112F0"/>
    <w:rsid w:val="00E13CF1"/>
    <w:rsid w:val="00E217A0"/>
    <w:rsid w:val="00E21953"/>
    <w:rsid w:val="00E2655D"/>
    <w:rsid w:val="00E30EB0"/>
    <w:rsid w:val="00E36626"/>
    <w:rsid w:val="00E5643E"/>
    <w:rsid w:val="00E60429"/>
    <w:rsid w:val="00E64ADE"/>
    <w:rsid w:val="00E81FCF"/>
    <w:rsid w:val="00E82896"/>
    <w:rsid w:val="00E851DB"/>
    <w:rsid w:val="00E90CA2"/>
    <w:rsid w:val="00E9116B"/>
    <w:rsid w:val="00E9672C"/>
    <w:rsid w:val="00EA7A41"/>
    <w:rsid w:val="00EB0E1C"/>
    <w:rsid w:val="00EB7FD6"/>
    <w:rsid w:val="00EC0243"/>
    <w:rsid w:val="00EC1BC8"/>
    <w:rsid w:val="00EC43B5"/>
    <w:rsid w:val="00ED1436"/>
    <w:rsid w:val="00EE4127"/>
    <w:rsid w:val="00EF1EF2"/>
    <w:rsid w:val="00F009E3"/>
    <w:rsid w:val="00F03D34"/>
    <w:rsid w:val="00F17C85"/>
    <w:rsid w:val="00F24398"/>
    <w:rsid w:val="00F25C61"/>
    <w:rsid w:val="00F314F3"/>
    <w:rsid w:val="00F42340"/>
    <w:rsid w:val="00F443A1"/>
    <w:rsid w:val="00F475A2"/>
    <w:rsid w:val="00F5142B"/>
    <w:rsid w:val="00F531C2"/>
    <w:rsid w:val="00F5753A"/>
    <w:rsid w:val="00F626A9"/>
    <w:rsid w:val="00F65CBD"/>
    <w:rsid w:val="00F81A88"/>
    <w:rsid w:val="00F85FF5"/>
    <w:rsid w:val="00F8734D"/>
    <w:rsid w:val="00F93749"/>
    <w:rsid w:val="00F9775F"/>
    <w:rsid w:val="00FB135E"/>
    <w:rsid w:val="00FB6394"/>
    <w:rsid w:val="00FC6BDE"/>
    <w:rsid w:val="00FD1E72"/>
    <w:rsid w:val="00FE5C2E"/>
    <w:rsid w:val="00FF146C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A6B7B0"/>
  <w15:chartTrackingRefBased/>
  <w15:docId w15:val="{CE66B2BA-8D08-4C02-A55B-1C6AF35E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31F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17DB"/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BE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17DB"/>
    <w:rPr>
      <w:lang w:val="en-GB"/>
    </w:rPr>
  </w:style>
  <w:style w:type="character" w:styleId="PageNumber">
    <w:name w:val="page number"/>
    <w:basedOn w:val="DefaultParagraphFont"/>
    <w:rsid w:val="00BE17DB"/>
  </w:style>
  <w:style w:type="paragraph" w:styleId="FootnoteText">
    <w:name w:val="footnote text"/>
    <w:basedOn w:val="Normal"/>
    <w:link w:val="FootnoteTextChar"/>
    <w:uiPriority w:val="99"/>
    <w:unhideWhenUsed/>
    <w:rsid w:val="00386F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86F07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386F07"/>
    <w:rPr>
      <w:vertAlign w:val="superscript"/>
    </w:rPr>
  </w:style>
  <w:style w:type="paragraph" w:styleId="ListParagraph">
    <w:name w:val="List Paragraph"/>
    <w:basedOn w:val="Normal"/>
    <w:uiPriority w:val="34"/>
    <w:qFormat/>
    <w:rsid w:val="00B214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56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643E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C09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C09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C09AC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9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9AC"/>
    <w:rPr>
      <w:b/>
      <w:bCs/>
      <w:sz w:val="20"/>
      <w:szCs w:val="20"/>
      <w:lang w:val="en-GB"/>
    </w:rPr>
  </w:style>
  <w:style w:type="paragraph" w:customStyle="1" w:styleId="doc-ti">
    <w:name w:val="doc-ti"/>
    <w:basedOn w:val="Normal"/>
    <w:rsid w:val="00F65CBD"/>
    <w:pPr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hr-HR" w:eastAsia="hr-H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7665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76654"/>
    <w:rPr>
      <w:sz w:val="20"/>
      <w:szCs w:val="20"/>
      <w:lang w:val="en-GB"/>
    </w:rPr>
  </w:style>
  <w:style w:type="character" w:styleId="EndnoteReference">
    <w:name w:val="endnote reference"/>
    <w:basedOn w:val="DefaultParagraphFont"/>
    <w:uiPriority w:val="99"/>
    <w:semiHidden/>
    <w:unhideWhenUsed/>
    <w:rsid w:val="00776654"/>
    <w:rPr>
      <w:vertAlign w:val="superscript"/>
    </w:rPr>
  </w:style>
  <w:style w:type="paragraph" w:styleId="Revision">
    <w:name w:val="Revision"/>
    <w:hidden/>
    <w:uiPriority w:val="99"/>
    <w:semiHidden/>
    <w:rsid w:val="00600272"/>
    <w:pPr>
      <w:spacing w:after="0" w:line="240" w:lineRule="auto"/>
    </w:pPr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109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4322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CCA27-1B49-43DC-A1E0-0401CDF03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1438</Words>
  <Characters>8200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Wyg1</dc:creator>
  <cp:keywords/>
  <dc:description/>
  <cp:lastModifiedBy>Ivana Fekete</cp:lastModifiedBy>
  <cp:revision>28</cp:revision>
  <cp:lastPrinted>2016-09-12T14:45:00Z</cp:lastPrinted>
  <dcterms:created xsi:type="dcterms:W3CDTF">2017-02-17T12:37:00Z</dcterms:created>
  <dcterms:modified xsi:type="dcterms:W3CDTF">2020-12-03T14:09:00Z</dcterms:modified>
</cp:coreProperties>
</file>