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A20EF0C" w14:textId="77777777" w:rsidR="00EA5EF0" w:rsidRDefault="00EA5EF0" w:rsidP="00EA5EF0">
      <w:pPr>
        <w:jc w:val="both"/>
        <w:rPr>
          <w:rFonts w:ascii="Times New Roman" w:eastAsia="Calibri" w:hAnsi="Times New Roman" w:cs="Times New Roman"/>
          <w:sz w:val="24"/>
          <w:szCs w:val="24"/>
        </w:rPr>
      </w:pPr>
    </w:p>
    <w:p w14:paraId="720766FA" w14:textId="3DEE7A0D" w:rsidR="00ED4C9C" w:rsidRPr="006F2DFE" w:rsidRDefault="00EA5EF0" w:rsidP="00CA5412">
      <w:pPr>
        <w:jc w:val="center"/>
        <w:rPr>
          <w:rFonts w:ascii="Times New Roman" w:eastAsia="Calibri" w:hAnsi="Times New Roman" w:cs="Times New Roman"/>
          <w:b/>
          <w:sz w:val="24"/>
          <w:szCs w:val="24"/>
        </w:rPr>
      </w:pPr>
      <w:r w:rsidRPr="006F2DFE">
        <w:rPr>
          <w:rFonts w:ascii="Times New Roman" w:eastAsia="Calibri" w:hAnsi="Times New Roman" w:cs="Times New Roman"/>
          <w:b/>
          <w:sz w:val="24"/>
          <w:szCs w:val="24"/>
        </w:rPr>
        <w:t xml:space="preserve">Kriteriji </w:t>
      </w:r>
      <w:r w:rsidR="000B7D47">
        <w:rPr>
          <w:rFonts w:ascii="Times New Roman" w:eastAsia="Calibri" w:hAnsi="Times New Roman" w:cs="Times New Roman"/>
          <w:b/>
          <w:sz w:val="24"/>
          <w:szCs w:val="24"/>
        </w:rPr>
        <w:t>za ex-</w:t>
      </w:r>
      <w:r w:rsidR="00CA5412">
        <w:rPr>
          <w:rFonts w:ascii="Times New Roman" w:eastAsia="Calibri" w:hAnsi="Times New Roman" w:cs="Times New Roman"/>
          <w:b/>
          <w:sz w:val="24"/>
          <w:szCs w:val="24"/>
        </w:rPr>
        <w:t>ante (prethodne ) pr</w:t>
      </w:r>
      <w:r w:rsidR="006059FF">
        <w:rPr>
          <w:rFonts w:ascii="Times New Roman" w:eastAsia="Calibri" w:hAnsi="Times New Roman" w:cs="Times New Roman"/>
          <w:b/>
          <w:sz w:val="24"/>
          <w:szCs w:val="24"/>
        </w:rPr>
        <w:t>ovjere</w:t>
      </w:r>
      <w:r w:rsidR="000B7D47">
        <w:rPr>
          <w:rFonts w:ascii="Times New Roman" w:eastAsia="Calibri" w:hAnsi="Times New Roman" w:cs="Times New Roman"/>
          <w:b/>
          <w:sz w:val="24"/>
          <w:szCs w:val="24"/>
        </w:rPr>
        <w:t xml:space="preserve"> dokumentacije o nabavi i ex-</w:t>
      </w:r>
      <w:r w:rsidR="00CA5412">
        <w:rPr>
          <w:rFonts w:ascii="Times New Roman" w:eastAsia="Calibri" w:hAnsi="Times New Roman" w:cs="Times New Roman"/>
          <w:b/>
          <w:sz w:val="24"/>
          <w:szCs w:val="24"/>
        </w:rPr>
        <w:t>post (naknadne) provjere postupaka nabave</w:t>
      </w:r>
    </w:p>
    <w:p w14:paraId="4C7F7B98" w14:textId="3DE7051B" w:rsidR="00EA5EF0" w:rsidRDefault="00ED4C9C" w:rsidP="00EA5EF0">
      <w:pPr>
        <w:jc w:val="both"/>
        <w:rPr>
          <w:rFonts w:ascii="Times New Roman" w:eastAsia="Calibri" w:hAnsi="Times New Roman" w:cs="Times New Roman"/>
          <w:sz w:val="24"/>
          <w:szCs w:val="24"/>
        </w:rPr>
      </w:pPr>
      <w:r>
        <w:rPr>
          <w:rFonts w:ascii="Times New Roman" w:eastAsia="Calibri" w:hAnsi="Times New Roman" w:cs="Times New Roman"/>
          <w:sz w:val="24"/>
          <w:szCs w:val="24"/>
        </w:rPr>
        <w:t>A.  J</w:t>
      </w:r>
      <w:r w:rsidR="00EA5EF0" w:rsidRPr="00AA19A6">
        <w:rPr>
          <w:rFonts w:ascii="Times New Roman" w:eastAsia="Calibri" w:hAnsi="Times New Roman" w:cs="Times New Roman"/>
          <w:sz w:val="24"/>
          <w:szCs w:val="24"/>
        </w:rPr>
        <w:t xml:space="preserve">avne nabave koje </w:t>
      </w:r>
      <w:r w:rsidR="00EA5EF0">
        <w:rPr>
          <w:rFonts w:ascii="Times New Roman" w:eastAsia="Calibri" w:hAnsi="Times New Roman" w:cs="Times New Roman"/>
          <w:sz w:val="24"/>
          <w:szCs w:val="24"/>
        </w:rPr>
        <w:t xml:space="preserve">na temelju </w:t>
      </w:r>
      <w:r w:rsidR="00EA5EF0" w:rsidRPr="00EA5EF0">
        <w:rPr>
          <w:rFonts w:ascii="Times New Roman" w:eastAsia="Calibri" w:hAnsi="Times New Roman" w:cs="Times New Roman"/>
          <w:sz w:val="24"/>
          <w:szCs w:val="24"/>
        </w:rPr>
        <w:t>Uredb</w:t>
      </w:r>
      <w:r w:rsidR="00EA5EF0">
        <w:rPr>
          <w:rFonts w:ascii="Times New Roman" w:eastAsia="Calibri" w:hAnsi="Times New Roman" w:cs="Times New Roman"/>
          <w:sz w:val="24"/>
          <w:szCs w:val="24"/>
        </w:rPr>
        <w:t>e</w:t>
      </w:r>
      <w:r w:rsidR="00EA5EF0" w:rsidRPr="00EA5EF0">
        <w:rPr>
          <w:rFonts w:ascii="Times New Roman" w:eastAsia="Calibri" w:hAnsi="Times New Roman" w:cs="Times New Roman"/>
          <w:sz w:val="24"/>
          <w:szCs w:val="24"/>
        </w:rPr>
        <w:t xml:space="preserve"> o tijelima u sustavima upravljanja i kontrole korištenja Europskog socijalnog fonda, Europskog fonda za regionalni razvoj i Kohezijskog fonda, u vezi s ciljem »Ulaganje za rast i radna mjesta« (Narodne novine, br. 107/14, 23/15, 129/15, 15/17 i 18/17-ispr</w:t>
      </w:r>
      <w:r w:rsidR="002334CE">
        <w:rPr>
          <w:rFonts w:ascii="Times New Roman" w:eastAsia="Calibri" w:hAnsi="Times New Roman" w:cs="Times New Roman"/>
          <w:sz w:val="24"/>
          <w:szCs w:val="24"/>
        </w:rPr>
        <w:t>avak</w:t>
      </w:r>
      <w:r w:rsidR="00D013E3">
        <w:rPr>
          <w:rFonts w:ascii="Times New Roman" w:eastAsia="Calibri" w:hAnsi="Times New Roman" w:cs="Times New Roman"/>
          <w:sz w:val="24"/>
          <w:szCs w:val="24"/>
        </w:rPr>
        <w:t>, u daljnjem tekstu: Uredba</w:t>
      </w:r>
      <w:r w:rsidR="00EA5EF0">
        <w:rPr>
          <w:rFonts w:ascii="Times New Roman" w:eastAsia="Calibri" w:hAnsi="Times New Roman" w:cs="Times New Roman"/>
          <w:sz w:val="24"/>
          <w:szCs w:val="24"/>
        </w:rPr>
        <w:t>)</w:t>
      </w:r>
      <w:r w:rsidR="001D2AAD">
        <w:rPr>
          <w:rFonts w:ascii="Times New Roman" w:eastAsia="Calibri" w:hAnsi="Times New Roman" w:cs="Times New Roman"/>
          <w:sz w:val="24"/>
          <w:szCs w:val="24"/>
        </w:rPr>
        <w:t xml:space="preserve"> i </w:t>
      </w:r>
      <w:r w:rsidR="001D2AAD" w:rsidRPr="001D2AAD">
        <w:rPr>
          <w:rFonts w:ascii="Times New Roman" w:eastAsia="Calibri" w:hAnsi="Times New Roman" w:cs="Times New Roman"/>
          <w:sz w:val="24"/>
          <w:szCs w:val="24"/>
        </w:rPr>
        <w:t>Odlu</w:t>
      </w:r>
      <w:r w:rsidR="001D2AAD">
        <w:rPr>
          <w:rFonts w:ascii="Times New Roman" w:eastAsia="Calibri" w:hAnsi="Times New Roman" w:cs="Times New Roman"/>
          <w:sz w:val="24"/>
          <w:szCs w:val="24"/>
        </w:rPr>
        <w:t>ke</w:t>
      </w:r>
      <w:r w:rsidR="001D2AAD" w:rsidRPr="001D2AAD">
        <w:rPr>
          <w:rFonts w:ascii="Times New Roman" w:eastAsia="Calibri" w:hAnsi="Times New Roman" w:cs="Times New Roman"/>
          <w:sz w:val="24"/>
          <w:szCs w:val="24"/>
        </w:rPr>
        <w:t xml:space="preserve"> o obvezi provedbe prethodne (ex-ante) kontrole javnih nabava u okviru projekata koji se namjeravaju sufinancirati i sufinanciraju iz europskih strukturnih i investicijskih fondova u financijskom razdoblju 2014. – 2020. (Narodne novine, br. 87/2018)</w:t>
      </w:r>
      <w:r w:rsidR="00134273">
        <w:rPr>
          <w:rFonts w:ascii="Times New Roman" w:eastAsia="Calibri" w:hAnsi="Times New Roman" w:cs="Times New Roman"/>
          <w:sz w:val="24"/>
          <w:szCs w:val="24"/>
        </w:rPr>
        <w:t xml:space="preserve"> </w:t>
      </w:r>
      <w:r w:rsidR="00EA5EF0" w:rsidRPr="00AA19A6">
        <w:rPr>
          <w:rFonts w:ascii="Times New Roman" w:eastAsia="Calibri" w:hAnsi="Times New Roman" w:cs="Times New Roman"/>
          <w:sz w:val="24"/>
          <w:szCs w:val="24"/>
        </w:rPr>
        <w:t>prethodno (ex-ante) provjerava Središnja agencija za financiranje i ugovaranje programa i projekata Europske unije</w:t>
      </w:r>
      <w:r w:rsidR="00EA5EF0">
        <w:rPr>
          <w:rFonts w:ascii="Times New Roman" w:eastAsia="Calibri" w:hAnsi="Times New Roman" w:cs="Times New Roman"/>
          <w:sz w:val="24"/>
          <w:szCs w:val="24"/>
        </w:rPr>
        <w:t xml:space="preserve"> </w:t>
      </w:r>
      <w:r w:rsidR="00684A49">
        <w:rPr>
          <w:rFonts w:ascii="Times New Roman" w:eastAsia="Calibri" w:hAnsi="Times New Roman" w:cs="Times New Roman"/>
          <w:sz w:val="24"/>
          <w:szCs w:val="24"/>
        </w:rPr>
        <w:t>te nadležno P</w:t>
      </w:r>
      <w:r w:rsidR="0047357A">
        <w:rPr>
          <w:rFonts w:ascii="Times New Roman" w:eastAsia="Calibri" w:hAnsi="Times New Roman" w:cs="Times New Roman"/>
          <w:sz w:val="24"/>
          <w:szCs w:val="24"/>
        </w:rPr>
        <w:t>osredničko tijelo razine 2</w:t>
      </w:r>
      <w:r w:rsidR="00134273">
        <w:rPr>
          <w:rFonts w:ascii="Times New Roman" w:eastAsia="Calibri" w:hAnsi="Times New Roman" w:cs="Times New Roman"/>
          <w:sz w:val="24"/>
          <w:szCs w:val="24"/>
        </w:rPr>
        <w:t>.</w:t>
      </w:r>
    </w:p>
    <w:p w14:paraId="5757D124" w14:textId="7C3B2D19" w:rsidR="00ED4C9C" w:rsidRDefault="00ED4C9C" w:rsidP="00EA5EF0">
      <w:pPr>
        <w:jc w:val="both"/>
        <w:rPr>
          <w:rFonts w:ascii="Times New Roman" w:eastAsia="Calibri" w:hAnsi="Times New Roman" w:cs="Times New Roman"/>
          <w:sz w:val="24"/>
          <w:szCs w:val="24"/>
        </w:rPr>
      </w:pPr>
      <w:r>
        <w:rPr>
          <w:rFonts w:ascii="Times New Roman" w:eastAsia="Calibri" w:hAnsi="Times New Roman" w:cs="Times New Roman"/>
          <w:sz w:val="24"/>
          <w:szCs w:val="24"/>
        </w:rPr>
        <w:t>B.  Postupci nabave koji se provjeravaju ex-post</w:t>
      </w:r>
    </w:p>
    <w:p w14:paraId="51B5670F" w14:textId="77777777" w:rsidR="00EA5EF0" w:rsidRPr="00492159" w:rsidRDefault="00EA5EF0" w:rsidP="00EA5EF0">
      <w:pPr>
        <w:jc w:val="both"/>
        <w:rPr>
          <w:rFonts w:ascii="Times New Roman" w:eastAsia="Calibri" w:hAnsi="Times New Roman" w:cs="Times New Roman"/>
          <w:b/>
          <w:sz w:val="24"/>
          <w:szCs w:val="24"/>
          <w:u w:val="single"/>
        </w:rPr>
      </w:pPr>
    </w:p>
    <w:p w14:paraId="373F996B" w14:textId="79D6B42D" w:rsidR="00EA5EF0" w:rsidRDefault="00ED4C9C" w:rsidP="00EA5EF0">
      <w:pPr>
        <w:jc w:val="both"/>
        <w:rPr>
          <w:rFonts w:ascii="Times New Roman" w:eastAsia="Calibri" w:hAnsi="Times New Roman" w:cs="Times New Roman"/>
          <w:b/>
          <w:sz w:val="24"/>
          <w:szCs w:val="24"/>
          <w:u w:val="single"/>
        </w:rPr>
      </w:pPr>
      <w:r w:rsidRPr="00492159">
        <w:rPr>
          <w:rFonts w:ascii="Times New Roman" w:eastAsia="Calibri" w:hAnsi="Times New Roman" w:cs="Times New Roman"/>
          <w:b/>
          <w:sz w:val="24"/>
          <w:szCs w:val="24"/>
          <w:u w:val="single"/>
        </w:rPr>
        <w:t>Pod A utvrđuje</w:t>
      </w:r>
      <w:r w:rsidR="00492159">
        <w:rPr>
          <w:rFonts w:ascii="Times New Roman" w:eastAsia="Calibri" w:hAnsi="Times New Roman" w:cs="Times New Roman"/>
          <w:b/>
          <w:sz w:val="24"/>
          <w:szCs w:val="24"/>
          <w:u w:val="single"/>
        </w:rPr>
        <w:t xml:space="preserve"> se sljedeće</w:t>
      </w:r>
    </w:p>
    <w:p w14:paraId="4949F480" w14:textId="144290C1" w:rsidR="005B0C45" w:rsidRDefault="001F2508" w:rsidP="005B0C45">
      <w:pPr>
        <w:pStyle w:val="ListParagraph"/>
        <w:numPr>
          <w:ilvl w:val="0"/>
          <w:numId w:val="1"/>
        </w:numPr>
        <w:jc w:val="both"/>
        <w:rPr>
          <w:rFonts w:ascii="Times New Roman" w:eastAsia="Calibri" w:hAnsi="Times New Roman" w:cs="Times New Roman"/>
          <w:b/>
          <w:sz w:val="24"/>
          <w:szCs w:val="24"/>
        </w:rPr>
      </w:pPr>
      <w:r>
        <w:rPr>
          <w:rFonts w:ascii="Times New Roman" w:eastAsia="Calibri" w:hAnsi="Times New Roman" w:cs="Times New Roman"/>
          <w:b/>
          <w:sz w:val="24"/>
          <w:szCs w:val="24"/>
        </w:rPr>
        <w:t>Ex-ante</w:t>
      </w:r>
      <w:r w:rsidRPr="001F2508">
        <w:rPr>
          <w:rFonts w:ascii="Times New Roman" w:eastAsia="Calibri" w:hAnsi="Times New Roman" w:cs="Times New Roman"/>
          <w:b/>
          <w:sz w:val="24"/>
          <w:szCs w:val="24"/>
        </w:rPr>
        <w:t xml:space="preserve"> provjera </w:t>
      </w:r>
      <w:r w:rsidR="0008560A">
        <w:rPr>
          <w:rFonts w:ascii="Times New Roman" w:eastAsia="Calibri" w:hAnsi="Times New Roman" w:cs="Times New Roman"/>
          <w:b/>
          <w:sz w:val="24"/>
          <w:szCs w:val="24"/>
        </w:rPr>
        <w:t>dokumentacije o nabavi</w:t>
      </w:r>
      <w:r>
        <w:rPr>
          <w:rFonts w:ascii="Times New Roman" w:eastAsia="Calibri" w:hAnsi="Times New Roman" w:cs="Times New Roman"/>
          <w:b/>
          <w:sz w:val="24"/>
          <w:szCs w:val="24"/>
        </w:rPr>
        <w:t xml:space="preserve"> koje</w:t>
      </w:r>
      <w:r w:rsidR="005B0C45" w:rsidRPr="005B0C45">
        <w:rPr>
          <w:rFonts w:ascii="Times New Roman" w:eastAsia="Calibri" w:hAnsi="Times New Roman" w:cs="Times New Roman"/>
          <w:b/>
          <w:sz w:val="24"/>
          <w:szCs w:val="24"/>
        </w:rPr>
        <w:t xml:space="preserve"> se namjeravaju financirati u </w:t>
      </w:r>
      <w:r w:rsidR="00BA7CFC">
        <w:rPr>
          <w:rFonts w:ascii="Times New Roman" w:eastAsia="Calibri" w:hAnsi="Times New Roman" w:cs="Times New Roman"/>
          <w:b/>
          <w:sz w:val="24"/>
          <w:szCs w:val="24"/>
        </w:rPr>
        <w:t>okviru</w:t>
      </w:r>
      <w:r w:rsidR="005B0C45" w:rsidRPr="005B0C45">
        <w:rPr>
          <w:rFonts w:ascii="Times New Roman" w:eastAsia="Calibri" w:hAnsi="Times New Roman" w:cs="Times New Roman"/>
          <w:b/>
          <w:sz w:val="24"/>
          <w:szCs w:val="24"/>
        </w:rPr>
        <w:t xml:space="preserve"> projekta iz ESI fondova 2014. – 2020. u okviru poziva na dodjelu bespovratnih sredstava koji su objavljeni ili koji se namjeravaju objaviti</w:t>
      </w:r>
      <w:r>
        <w:rPr>
          <w:rFonts w:ascii="Times New Roman" w:eastAsia="Calibri" w:hAnsi="Times New Roman" w:cs="Times New Roman"/>
          <w:b/>
          <w:sz w:val="24"/>
          <w:szCs w:val="24"/>
        </w:rPr>
        <w:t xml:space="preserve"> (ugovor o dodjeli bespovratnih sredstava još nije sklopljen)</w:t>
      </w:r>
    </w:p>
    <w:p w14:paraId="5E0398FC" w14:textId="4C4EC8E8" w:rsidR="00AE3383" w:rsidRDefault="005B0C45" w:rsidP="005B0C45">
      <w:pPr>
        <w:jc w:val="both"/>
        <w:rPr>
          <w:rFonts w:ascii="Times New Roman" w:eastAsia="Calibri" w:hAnsi="Times New Roman" w:cs="Times New Roman"/>
          <w:sz w:val="24"/>
          <w:szCs w:val="24"/>
        </w:rPr>
      </w:pPr>
      <w:r w:rsidRPr="005B0C45">
        <w:rPr>
          <w:rFonts w:ascii="Times New Roman" w:eastAsia="Calibri" w:hAnsi="Times New Roman" w:cs="Times New Roman"/>
          <w:sz w:val="24"/>
          <w:szCs w:val="24"/>
        </w:rPr>
        <w:t>Sukladno Odlu</w:t>
      </w:r>
      <w:r w:rsidR="000F2256">
        <w:rPr>
          <w:rFonts w:ascii="Times New Roman" w:eastAsia="Calibri" w:hAnsi="Times New Roman" w:cs="Times New Roman"/>
          <w:sz w:val="24"/>
          <w:szCs w:val="24"/>
        </w:rPr>
        <w:t xml:space="preserve">ci o obvezi provedbe prethodne </w:t>
      </w:r>
      <w:r w:rsidRPr="005B0C45">
        <w:rPr>
          <w:rFonts w:ascii="Times New Roman" w:eastAsia="Calibri" w:hAnsi="Times New Roman" w:cs="Times New Roman"/>
          <w:sz w:val="24"/>
          <w:szCs w:val="24"/>
        </w:rPr>
        <w:t>(ex-ante) kontrole javnih nabava u okviru projekata koji se namjeravaju sufinancirati i sufinanciraju iz europskih strukturnih i investicijskih fondova u financijskom razdoblju 2014. – 2020. (Narodne novine, br. 87/2018)</w:t>
      </w:r>
      <w:r>
        <w:rPr>
          <w:rFonts w:ascii="Times New Roman" w:eastAsia="Calibri" w:hAnsi="Times New Roman" w:cs="Times New Roman"/>
          <w:sz w:val="24"/>
          <w:szCs w:val="24"/>
        </w:rPr>
        <w:t xml:space="preserve"> j</w:t>
      </w:r>
      <w:r w:rsidRPr="005B0C45">
        <w:rPr>
          <w:rFonts w:ascii="Times New Roman" w:eastAsia="Calibri" w:hAnsi="Times New Roman" w:cs="Times New Roman"/>
          <w:sz w:val="24"/>
          <w:szCs w:val="24"/>
        </w:rPr>
        <w:t xml:space="preserve">avni i sektorski naručitelji </w:t>
      </w:r>
      <w:r>
        <w:rPr>
          <w:rFonts w:ascii="Times New Roman" w:eastAsia="Calibri" w:hAnsi="Times New Roman" w:cs="Times New Roman"/>
          <w:sz w:val="24"/>
          <w:szCs w:val="24"/>
        </w:rPr>
        <w:t>u smislu Zakona o javnoj nabavi</w:t>
      </w:r>
      <w:r w:rsidRPr="005B0C45">
        <w:rPr>
          <w:rFonts w:ascii="Times New Roman" w:eastAsia="Calibri" w:hAnsi="Times New Roman" w:cs="Times New Roman"/>
          <w:sz w:val="24"/>
          <w:szCs w:val="24"/>
        </w:rPr>
        <w:t xml:space="preserve"> koji namjeravaju financirati projekte iz europskih strukturnih i investicijskih fondova u financijskom razdoblju 2014. – 2020., u okviru poziva na dodjelu bespovratnih sredstava koji su objavljeni ili koji se namjeravaju objaviti obvezni su dostavljati nadležnom PT2, </w:t>
      </w:r>
      <w:r w:rsidR="000F2256">
        <w:rPr>
          <w:rFonts w:ascii="Times New Roman" w:eastAsia="Calibri" w:hAnsi="Times New Roman" w:cs="Times New Roman"/>
          <w:sz w:val="24"/>
          <w:szCs w:val="24"/>
        </w:rPr>
        <w:t>dokumentaciju o nabavi</w:t>
      </w:r>
      <w:r w:rsidRPr="005B0C45">
        <w:rPr>
          <w:rFonts w:ascii="Times New Roman" w:eastAsia="Calibri" w:hAnsi="Times New Roman" w:cs="Times New Roman"/>
          <w:sz w:val="24"/>
          <w:szCs w:val="24"/>
        </w:rPr>
        <w:t xml:space="preserve"> na prethodnu (ex-ante) provjeru.</w:t>
      </w:r>
      <w:r>
        <w:rPr>
          <w:rFonts w:ascii="Times New Roman" w:eastAsia="Calibri" w:hAnsi="Times New Roman" w:cs="Times New Roman"/>
          <w:sz w:val="24"/>
          <w:szCs w:val="24"/>
        </w:rPr>
        <w:t xml:space="preserve"> </w:t>
      </w:r>
    </w:p>
    <w:p w14:paraId="238A1429" w14:textId="55C10ECA"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 xml:space="preserve">Uloga Posredničkog tijela razine 1 (u daljnjem tekstu: PT 1) u kontekstu primjene Odluke je upoznati (potencijalnog) prijavitelja s tim da se dokumentacija o nabavi dostavlja na provjeru nadležnom Posredničkom tijelu razine 2 (nadležnost se određuje prema specifičnom cilju, u skladu s Uredbom o tijelima u sustavima upravljanja i kontrole korištenja Europskog socijalnog fonda, Europskog fonda za regionalni razvoj i Kohezijskog fonda, u vezi s ciljem »Ulaganje za rast i radna mjesta« (Narodne novine, br. 107/14, 23/15, 129/15, 15/17 i 18/17 - ispravak). PT 1 obavještava (potencijalne) prijavitelje za koje je unaprijed poznato da će sudjelovati u postupku dodjele (unaprijed određeni prijavitelji u ograničenim pozivima na dodjelu bespovratnih sredstava i izravnim dodjelama). U odnosu na sve ostale (potencijalne) prijavitelje, informacija o tome da se dokumentacija o nabavi dostavlja nadležnom Posredničkom tijelu razine 2 (u daljnjem tekstu: PT 2) objavit će se na stranicama </w:t>
      </w:r>
      <w:r w:rsidRPr="001D2AAD">
        <w:rPr>
          <w:rFonts w:ascii="Times New Roman" w:eastAsia="Calibri" w:hAnsi="Times New Roman" w:cs="Times New Roman"/>
          <w:sz w:val="24"/>
          <w:szCs w:val="24"/>
        </w:rPr>
        <w:lastRenderedPageBreak/>
        <w:t>strukturnifondovi.hr, a ta se informacija uvrštava i u poziv na dodjelu bespovratnih sredstava,</w:t>
      </w:r>
      <w:r>
        <w:rPr>
          <w:rFonts w:ascii="Times New Roman" w:eastAsia="Calibri" w:hAnsi="Times New Roman" w:cs="Times New Roman"/>
          <w:sz w:val="24"/>
          <w:szCs w:val="24"/>
        </w:rPr>
        <w:t xml:space="preserve"> prilikom njegova pripremanja. </w:t>
      </w:r>
    </w:p>
    <w:p w14:paraId="0683BCE3" w14:textId="3B37BA53" w:rsidR="001D2AAD" w:rsidRPr="005307E7" w:rsidRDefault="001D2AAD" w:rsidP="001D2AAD">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Pr="001D2AAD">
        <w:rPr>
          <w:rFonts w:ascii="Times New Roman" w:eastAsia="Calibri" w:hAnsi="Times New Roman" w:cs="Times New Roman"/>
          <w:sz w:val="24"/>
          <w:szCs w:val="24"/>
        </w:rPr>
        <w:t xml:space="preserve">rovjeru dokumentacije o nabavi obavlja Središnja agencija za financiranje i ugovaranje programa i projekata Europske unije (u daljnjem tekstu: SAFU ) ili nadležni PT 2, pri čemu se </w:t>
      </w:r>
      <w:r w:rsidRPr="005307E7">
        <w:rPr>
          <w:rFonts w:ascii="Times New Roman" w:eastAsia="Calibri" w:hAnsi="Times New Roman" w:cs="Times New Roman"/>
          <w:sz w:val="24"/>
          <w:szCs w:val="24"/>
        </w:rPr>
        <w:t>primjenjuje sljedeća metodologija:</w:t>
      </w:r>
    </w:p>
    <w:p w14:paraId="0DF59890" w14:textId="1A0F9632" w:rsidR="001D2AAD" w:rsidRPr="005307E7" w:rsidRDefault="001D2AAD" w:rsidP="001D2AAD">
      <w:pPr>
        <w:jc w:val="both"/>
        <w:rPr>
          <w:rFonts w:ascii="Times New Roman" w:eastAsia="Calibri" w:hAnsi="Times New Roman" w:cs="Times New Roman"/>
          <w:sz w:val="24"/>
          <w:szCs w:val="24"/>
        </w:rPr>
      </w:pPr>
      <w:r w:rsidRPr="005307E7">
        <w:rPr>
          <w:rFonts w:ascii="Times New Roman" w:eastAsia="Calibri" w:hAnsi="Times New Roman" w:cs="Times New Roman"/>
          <w:sz w:val="24"/>
          <w:szCs w:val="24"/>
        </w:rPr>
        <w:t>U odnosu na nabave procijenjene vrijednosti 5-25 milijuna kuna za robe i usluge te 15-100 milijuna kuna za radove, nadležni PT 2 primjenjuje niže opisanu metodologiju na temelju koje će se odrediti nabave koje će se dostaviti SAFU na ex-ante provjeru. Navedena metodologija predstavlja minimum standarda koji je potrebno primijeniti prilikom uzorkovanja nabava za ex-ante provjeru u SAFU, pri čemu se koristi bodovanje 0-2 (0 ili 2):</w:t>
      </w:r>
    </w:p>
    <w:p w14:paraId="3F020DD0" w14:textId="524EBD2A" w:rsidR="001D2AAD" w:rsidRPr="005307E7" w:rsidRDefault="001D2AAD" w:rsidP="001D2AAD">
      <w:pPr>
        <w:jc w:val="both"/>
        <w:rPr>
          <w:rFonts w:ascii="Times New Roman" w:eastAsia="Calibri" w:hAnsi="Times New Roman" w:cs="Times New Roman"/>
          <w:sz w:val="24"/>
          <w:szCs w:val="24"/>
        </w:rPr>
      </w:pPr>
      <w:r w:rsidRPr="005307E7">
        <w:rPr>
          <w:rFonts w:ascii="Times New Roman" w:eastAsia="Calibri" w:hAnsi="Times New Roman" w:cs="Times New Roman"/>
          <w:sz w:val="24"/>
          <w:szCs w:val="24"/>
        </w:rPr>
        <w:t>- u odnosu na grupe nabave: ako je riječ o četiri ili više grupa nabave dodjeljuju se 2 boda</w:t>
      </w:r>
    </w:p>
    <w:p w14:paraId="3354F859" w14:textId="0D45E21A" w:rsidR="001D2AAD" w:rsidRPr="005307E7" w:rsidRDefault="001D2AAD" w:rsidP="001D2AAD">
      <w:pPr>
        <w:jc w:val="both"/>
        <w:rPr>
          <w:rFonts w:ascii="Times New Roman" w:eastAsia="Calibri" w:hAnsi="Times New Roman" w:cs="Times New Roman"/>
          <w:sz w:val="24"/>
          <w:szCs w:val="24"/>
        </w:rPr>
      </w:pPr>
      <w:r w:rsidRPr="005307E7">
        <w:rPr>
          <w:rFonts w:ascii="Times New Roman" w:eastAsia="Calibri" w:hAnsi="Times New Roman" w:cs="Times New Roman"/>
          <w:sz w:val="24"/>
          <w:szCs w:val="24"/>
        </w:rPr>
        <w:t>- u odnosu na udio nabave u projektu: ako je veći od 33% – dodjeljuju se 2 boda</w:t>
      </w:r>
    </w:p>
    <w:p w14:paraId="660A22BA" w14:textId="09321164" w:rsidR="001D2AAD" w:rsidRPr="005307E7" w:rsidRDefault="001D2AAD" w:rsidP="001D2AAD">
      <w:pPr>
        <w:jc w:val="both"/>
        <w:rPr>
          <w:rFonts w:ascii="Times New Roman" w:eastAsia="Calibri" w:hAnsi="Times New Roman" w:cs="Times New Roman"/>
          <w:sz w:val="24"/>
          <w:szCs w:val="24"/>
        </w:rPr>
      </w:pPr>
      <w:r w:rsidRPr="005307E7">
        <w:rPr>
          <w:rFonts w:ascii="Times New Roman" w:eastAsia="Calibri" w:hAnsi="Times New Roman" w:cs="Times New Roman"/>
          <w:sz w:val="24"/>
          <w:szCs w:val="24"/>
        </w:rPr>
        <w:t>- u odnosu na vrstu nabave: za otvoreni postupak dodjeljuje se 0 bodova, za ostale postupke dodjeljuju se 2 boda</w:t>
      </w:r>
    </w:p>
    <w:p w14:paraId="7C63A9B1" w14:textId="6FF386C7" w:rsidR="001D2AAD" w:rsidRPr="005307E7" w:rsidRDefault="001D2AAD" w:rsidP="001D2AAD">
      <w:pPr>
        <w:jc w:val="both"/>
        <w:rPr>
          <w:rFonts w:ascii="Times New Roman" w:eastAsia="Calibri" w:hAnsi="Times New Roman" w:cs="Times New Roman"/>
          <w:sz w:val="24"/>
          <w:szCs w:val="24"/>
        </w:rPr>
      </w:pPr>
      <w:r w:rsidRPr="005307E7">
        <w:rPr>
          <w:rFonts w:ascii="Times New Roman" w:eastAsia="Calibri" w:hAnsi="Times New Roman" w:cs="Times New Roman"/>
          <w:sz w:val="24"/>
          <w:szCs w:val="24"/>
        </w:rPr>
        <w:t>- prethodno iskustvo u provedbi postupaka nabave: da – dodjeljuje se 0 bodova/ ne –dodjeljuju se 2 boda</w:t>
      </w:r>
    </w:p>
    <w:p w14:paraId="29F4962A" w14:textId="6C867E3F" w:rsidR="001D2AAD" w:rsidRPr="001D2AAD" w:rsidRDefault="001D2AAD" w:rsidP="001D2AAD">
      <w:pPr>
        <w:jc w:val="both"/>
        <w:rPr>
          <w:rFonts w:ascii="Times New Roman" w:eastAsia="Calibri" w:hAnsi="Times New Roman" w:cs="Times New Roman"/>
          <w:sz w:val="24"/>
          <w:szCs w:val="24"/>
        </w:rPr>
      </w:pPr>
      <w:r w:rsidRPr="005307E7">
        <w:rPr>
          <w:rFonts w:ascii="Times New Roman" w:eastAsia="Calibri" w:hAnsi="Times New Roman" w:cs="Times New Roman"/>
          <w:sz w:val="24"/>
          <w:szCs w:val="24"/>
        </w:rPr>
        <w:t>- financijske korekcije koje određene u vezi provođenja postupka nabave u zadnje dvije godine: ne - dodjeljuje se 0 bodova/da – dodjeljuju se 2 boda.</w:t>
      </w:r>
    </w:p>
    <w:p w14:paraId="35D4ED0F" w14:textId="45D0AAD0"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Sve nabave koje po navedenoj metodologiji dosegnu 6 i</w:t>
      </w:r>
      <w:r>
        <w:rPr>
          <w:rFonts w:ascii="Times New Roman" w:eastAsia="Calibri" w:hAnsi="Times New Roman" w:cs="Times New Roman"/>
          <w:sz w:val="24"/>
          <w:szCs w:val="24"/>
        </w:rPr>
        <w:t>li više bodova provjerava SAFU.</w:t>
      </w:r>
    </w:p>
    <w:p w14:paraId="73F31AC6" w14:textId="39F2AC47"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 xml:space="preserve">Preostale nabave (izvan onih koje su ušle u uzorak koji provjerava </w:t>
      </w:r>
      <w:r>
        <w:rPr>
          <w:rFonts w:ascii="Times New Roman" w:eastAsia="Calibri" w:hAnsi="Times New Roman" w:cs="Times New Roman"/>
          <w:sz w:val="24"/>
          <w:szCs w:val="24"/>
        </w:rPr>
        <w:t>SAFU) provjerava nadležni PT 2.</w:t>
      </w:r>
    </w:p>
    <w:p w14:paraId="35B39823" w14:textId="693CAA7D"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Nabave procijenjene vrijednosti iznad 100 milijuna kuna kada je riječ o radovima, te 25 milijuna kuna kada je riječ o robi i uslugama, o</w:t>
      </w:r>
      <w:r>
        <w:rPr>
          <w:rFonts w:ascii="Times New Roman" w:eastAsia="Calibri" w:hAnsi="Times New Roman" w:cs="Times New Roman"/>
          <w:sz w:val="24"/>
          <w:szCs w:val="24"/>
        </w:rPr>
        <w:t>bvezno ex-ante provjerava SAFU.</w:t>
      </w:r>
    </w:p>
    <w:p w14:paraId="46E16764" w14:textId="6BDB7E58"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U situacijama kada se koristi pregovarački postupak obavezno se zahtijeva obrazloženje ra</w:t>
      </w:r>
      <w:r>
        <w:rPr>
          <w:rFonts w:ascii="Times New Roman" w:eastAsia="Calibri" w:hAnsi="Times New Roman" w:cs="Times New Roman"/>
          <w:sz w:val="24"/>
          <w:szCs w:val="24"/>
        </w:rPr>
        <w:t>zloga za primjenu tog postupka.</w:t>
      </w:r>
    </w:p>
    <w:p w14:paraId="504841D7" w14:textId="77777777"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 xml:space="preserve">Prilikom ex-ante provjera nabava koje u skladu s prethodno opisanim odredbama provodi SAFU, u situacijama kada je to neophodno, SAFU može relevantne aktivnosti obavljati uz pomoć stručnih osoba iz nadležnog PT-a 2. Navedene osobe tada u postupku ex ante provjera nabava sudjeluju na način da djeluju kao osobe koje obavljaju ex-ante provjere (ispunjavajući i potpisujući relevantne obrasce, dajući odgovarajuća pojašnjenja i obrazloženja), dok SAFU zadržava odgovornost za pravilnost provedenog postupka. Također, te osobe ne smiju naknadno u nadležnom PT-u 2 obavljati aktivnosti vezane uz ex post provjere istih nabava. </w:t>
      </w:r>
    </w:p>
    <w:p w14:paraId="7F12BF20" w14:textId="77777777" w:rsidR="001D2AAD" w:rsidRPr="001D2AAD" w:rsidRDefault="001D2AAD" w:rsidP="001D2AAD">
      <w:pPr>
        <w:jc w:val="both"/>
        <w:rPr>
          <w:rFonts w:ascii="Times New Roman" w:eastAsia="Calibri" w:hAnsi="Times New Roman" w:cs="Times New Roman"/>
          <w:sz w:val="24"/>
          <w:szCs w:val="24"/>
        </w:rPr>
      </w:pPr>
    </w:p>
    <w:p w14:paraId="329FEB6A" w14:textId="0F727D04"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lastRenderedPageBreak/>
        <w:t>Po zaprimanju dokumentacije o nabavi, nadležni PT 2 u roku 10 radnih dana dostavlja na ex-ante provjeru u SAFU onu dokumentaciju o nabavi koju je obvezan dostaviti u</w:t>
      </w:r>
      <w:r>
        <w:rPr>
          <w:rFonts w:ascii="Times New Roman" w:eastAsia="Calibri" w:hAnsi="Times New Roman" w:cs="Times New Roman"/>
          <w:sz w:val="24"/>
          <w:szCs w:val="24"/>
        </w:rPr>
        <w:t xml:space="preserve"> skladu s prethodno navedenim. </w:t>
      </w:r>
    </w:p>
    <w:p w14:paraId="5E7B0BC0" w14:textId="54EFC0CF"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Ako prijavitelj, unatoč obavijesti da dokumentaciju o nabavi treba dostaviti nadležnom PT-u 2, istu dostavi SAFU, PT-u 1 ili Upravljačkom tijelu, dokumentacija se pros</w:t>
      </w:r>
      <w:r>
        <w:rPr>
          <w:rFonts w:ascii="Times New Roman" w:eastAsia="Calibri" w:hAnsi="Times New Roman" w:cs="Times New Roman"/>
          <w:sz w:val="24"/>
          <w:szCs w:val="24"/>
        </w:rPr>
        <w:t xml:space="preserve">ljeđuje u nadležni PT 2. </w:t>
      </w:r>
    </w:p>
    <w:p w14:paraId="65488DFA" w14:textId="70BF55A7"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PT 2 obavještava PT 1 da je zaprimio dokumentaciju o nabavi od konkretnog prijavitelja, kao i da je tu dokumentaciju proslijedio u SAFU na daljnje postup</w:t>
      </w:r>
      <w:r>
        <w:rPr>
          <w:rFonts w:ascii="Times New Roman" w:eastAsia="Calibri" w:hAnsi="Times New Roman" w:cs="Times New Roman"/>
          <w:sz w:val="24"/>
          <w:szCs w:val="24"/>
        </w:rPr>
        <w:t xml:space="preserve">anje (kada je to primjenjivo). </w:t>
      </w:r>
    </w:p>
    <w:p w14:paraId="41145F43" w14:textId="4D286700"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U predmetnom postupku se na odgovarajući način primjenjuju pravila opisana u ZNP-u, primjenjiva na ex ante pr</w:t>
      </w:r>
      <w:r>
        <w:rPr>
          <w:rFonts w:ascii="Times New Roman" w:eastAsia="Calibri" w:hAnsi="Times New Roman" w:cs="Times New Roman"/>
          <w:sz w:val="24"/>
          <w:szCs w:val="24"/>
        </w:rPr>
        <w:t xml:space="preserve">ovjere dokumentacija o nabavi. </w:t>
      </w:r>
    </w:p>
    <w:p w14:paraId="5919A704" w14:textId="1A362DBE" w:rsidR="001D2AAD" w:rsidRPr="001D2AAD" w:rsidRDefault="001D2AAD" w:rsidP="001D2AAD">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Nadalje, vezano uz pregled plana nabave (kako to definira Odluka), pojašnjava se da se u stadiju prije potpisivanja ugovora o dodjeli bespovratnih sredstava pregledom plana nabave treba osigurati usklađenost na način da se provjeri je li određeni postupak vezan uz dostavljenu dokumentaciju o nabavi naveden u preliminarnom planu nabave (u odnosu na nabave obuhvaćene Odlukom), jesu li dobro određene vrste postupaka i predmeti ugovora te je li plan nabave izrađen u skladu s primjenjivim pravilima nabave, posebice uvažavaju</w:t>
      </w:r>
      <w:r>
        <w:rPr>
          <w:rFonts w:ascii="Times New Roman" w:eastAsia="Calibri" w:hAnsi="Times New Roman" w:cs="Times New Roman"/>
          <w:sz w:val="24"/>
          <w:szCs w:val="24"/>
        </w:rPr>
        <w:t xml:space="preserve">ći članke 16. i 203. ZJN 2016. </w:t>
      </w:r>
    </w:p>
    <w:p w14:paraId="359D9D6E" w14:textId="62BBB18D" w:rsidR="00CF049F" w:rsidRPr="005B0C45" w:rsidRDefault="001D2AAD" w:rsidP="005B0C45">
      <w:pPr>
        <w:jc w:val="both"/>
        <w:rPr>
          <w:rFonts w:ascii="Times New Roman" w:eastAsia="Calibri" w:hAnsi="Times New Roman" w:cs="Times New Roman"/>
          <w:sz w:val="24"/>
          <w:szCs w:val="24"/>
        </w:rPr>
      </w:pPr>
      <w:r w:rsidRPr="001D2AAD">
        <w:rPr>
          <w:rFonts w:ascii="Times New Roman" w:eastAsia="Calibri" w:hAnsi="Times New Roman" w:cs="Times New Roman"/>
          <w:sz w:val="24"/>
          <w:szCs w:val="24"/>
        </w:rPr>
        <w:t>Svrha Odluke je preventivno djelovati i već u prvim nabavama koje se provode prije sklapanja ugovora o dodjeli bespovratnih sredstava uputiti na potencijalne nedostatke u dokumentaciji o nabavi, a koji mogu utjecati na prihvatljivost izdataka, te na opisani način dati preporuke prijaviteljima za daljnje postupanje. Dakle, od dana stupanja na snagu, Odluka se primjenjuje na sve nabave koje se provode prije sklapanja ugovora o dodjeli bespovratnih sredstava</w:t>
      </w:r>
      <w:r>
        <w:rPr>
          <w:rFonts w:ascii="Times New Roman" w:eastAsia="Calibri" w:hAnsi="Times New Roman" w:cs="Times New Roman"/>
          <w:sz w:val="24"/>
          <w:szCs w:val="24"/>
        </w:rPr>
        <w:t xml:space="preserve">. </w:t>
      </w:r>
      <w:r w:rsidRPr="001D2AAD">
        <w:rPr>
          <w:rFonts w:ascii="Times New Roman" w:eastAsia="Calibri" w:hAnsi="Times New Roman" w:cs="Times New Roman"/>
          <w:sz w:val="24"/>
          <w:szCs w:val="24"/>
        </w:rPr>
        <w:t xml:space="preserve">Ističe se da je u situacijama kada je postupak javne nabave već pokrenut i/ili proveden prije stupanja na snagu Odluke, uvažavajući činjenicu da se u ex ante kontroli provjerava dokumentacija o nabavi prije pokretanja postupka nabave, takva nabava podložna je ostalim (ex-post) provjerama (budući da Odluka ne propisuje retroaktivni učinak primjene i na nabave koje su objavljene prije njezina stupanja na snagu), u skladu s uvjetima ugovora o dodjeli bespovratnih sredstava i Zajedničkim nacionalnim pravilima. Navedeno ne utječe na obvezu svakog korisnika bespovratnih sredstava postupati u skladu s ugovornim odredbama vezano uz ex ante provjeru dokumentacije o nabavi koja se planira u okviru istog projekta pokrenuti i nakon sklapanja ugovora o </w:t>
      </w:r>
      <w:r>
        <w:rPr>
          <w:rFonts w:ascii="Times New Roman" w:eastAsia="Calibri" w:hAnsi="Times New Roman" w:cs="Times New Roman"/>
          <w:sz w:val="24"/>
          <w:szCs w:val="24"/>
        </w:rPr>
        <w:t>dodjeli bespovratnih sredstava.</w:t>
      </w:r>
    </w:p>
    <w:p w14:paraId="5A5993B8" w14:textId="1017A884" w:rsidR="00A11D92" w:rsidRPr="00D61F56" w:rsidRDefault="001F2508" w:rsidP="00D61F56">
      <w:pPr>
        <w:pStyle w:val="ListParagraph"/>
        <w:numPr>
          <w:ilvl w:val="0"/>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Ex-ante provjera postupaka nabava koji se planiraju provoditi nakon sklapanja ugovora o dodjeli bespovratnih sredstava</w:t>
      </w:r>
      <w:r w:rsidR="00E9095A" w:rsidRPr="008D57CB">
        <w:rPr>
          <w:rFonts w:ascii="Times New Roman" w:eastAsia="Calibri" w:hAnsi="Times New Roman" w:cs="Times New Roman"/>
          <w:b/>
          <w:sz w:val="24"/>
          <w:szCs w:val="24"/>
        </w:rPr>
        <w:t xml:space="preserve">, a </w:t>
      </w:r>
      <w:r w:rsidR="00E9095A">
        <w:rPr>
          <w:rFonts w:ascii="Times New Roman" w:eastAsia="Calibri" w:hAnsi="Times New Roman" w:cs="Times New Roman"/>
          <w:b/>
          <w:sz w:val="24"/>
          <w:szCs w:val="24"/>
        </w:rPr>
        <w:t>čija je procijenjena vrijednost</w:t>
      </w:r>
      <w:r w:rsidR="00E9095A" w:rsidRPr="008D57CB">
        <w:rPr>
          <w:rFonts w:ascii="Times New Roman" w:eastAsia="Calibri" w:hAnsi="Times New Roman" w:cs="Times New Roman"/>
          <w:b/>
          <w:sz w:val="24"/>
          <w:szCs w:val="24"/>
        </w:rPr>
        <w:t xml:space="preserve"> manja od 25 mil</w:t>
      </w:r>
      <w:r w:rsidR="001D2AAD">
        <w:rPr>
          <w:rFonts w:ascii="Times New Roman" w:eastAsia="Calibri" w:hAnsi="Times New Roman" w:cs="Times New Roman"/>
          <w:b/>
          <w:sz w:val="24"/>
          <w:szCs w:val="24"/>
        </w:rPr>
        <w:t>ijuna</w:t>
      </w:r>
      <w:r w:rsidR="00E9095A" w:rsidRPr="008D57CB">
        <w:rPr>
          <w:rFonts w:ascii="Times New Roman" w:eastAsia="Calibri" w:hAnsi="Times New Roman" w:cs="Times New Roman"/>
          <w:b/>
          <w:sz w:val="24"/>
          <w:szCs w:val="24"/>
        </w:rPr>
        <w:t xml:space="preserve"> kuna</w:t>
      </w:r>
      <w:r w:rsidR="00E9095A">
        <w:rPr>
          <w:rFonts w:ascii="Times New Roman" w:eastAsia="Calibri" w:hAnsi="Times New Roman" w:cs="Times New Roman"/>
          <w:b/>
          <w:sz w:val="24"/>
          <w:szCs w:val="24"/>
        </w:rPr>
        <w:t xml:space="preserve"> </w:t>
      </w:r>
      <w:r w:rsidR="00E9095A" w:rsidRPr="008D57CB">
        <w:rPr>
          <w:rFonts w:ascii="Times New Roman" w:eastAsia="Calibri" w:hAnsi="Times New Roman" w:cs="Times New Roman"/>
          <w:b/>
          <w:sz w:val="24"/>
          <w:szCs w:val="24"/>
        </w:rPr>
        <w:t>za robe i usluge te manja od 100 mil</w:t>
      </w:r>
      <w:r w:rsidR="001D2AAD">
        <w:rPr>
          <w:rFonts w:ascii="Times New Roman" w:eastAsia="Calibri" w:hAnsi="Times New Roman" w:cs="Times New Roman"/>
          <w:b/>
          <w:sz w:val="24"/>
          <w:szCs w:val="24"/>
        </w:rPr>
        <w:t>ijuna</w:t>
      </w:r>
      <w:r w:rsidR="00E9095A" w:rsidRPr="008D57CB">
        <w:rPr>
          <w:rFonts w:ascii="Times New Roman" w:eastAsia="Calibri" w:hAnsi="Times New Roman" w:cs="Times New Roman"/>
          <w:b/>
          <w:sz w:val="24"/>
          <w:szCs w:val="24"/>
        </w:rPr>
        <w:t xml:space="preserve"> kuna</w:t>
      </w:r>
      <w:r w:rsidR="00E9095A">
        <w:rPr>
          <w:rFonts w:ascii="Times New Roman" w:eastAsia="Calibri" w:hAnsi="Times New Roman" w:cs="Times New Roman"/>
          <w:b/>
          <w:sz w:val="24"/>
          <w:szCs w:val="24"/>
        </w:rPr>
        <w:t xml:space="preserve"> </w:t>
      </w:r>
      <w:r w:rsidR="00E9095A" w:rsidRPr="008D57CB">
        <w:rPr>
          <w:rFonts w:ascii="Times New Roman" w:eastAsia="Calibri" w:hAnsi="Times New Roman" w:cs="Times New Roman"/>
          <w:b/>
          <w:sz w:val="24"/>
          <w:szCs w:val="24"/>
        </w:rPr>
        <w:t>za radove</w:t>
      </w:r>
    </w:p>
    <w:p w14:paraId="7AAD6491" w14:textId="559758C5" w:rsidR="00CF049F" w:rsidRPr="001D2AAD" w:rsidRDefault="007A4A79" w:rsidP="007A4A79">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Nabave </w:t>
      </w:r>
      <w:r w:rsidR="001D2AAD">
        <w:rPr>
          <w:rFonts w:ascii="Times New Roman" w:eastAsia="Calibri" w:hAnsi="Times New Roman" w:cs="Times New Roman"/>
          <w:sz w:val="24"/>
          <w:szCs w:val="24"/>
        </w:rPr>
        <w:t>procijenjene vrijednosti do</w:t>
      </w:r>
      <w:r w:rsidR="00E9095A" w:rsidRPr="00D61F56">
        <w:rPr>
          <w:rFonts w:ascii="Times New Roman" w:eastAsia="Calibri" w:hAnsi="Times New Roman" w:cs="Times New Roman"/>
          <w:sz w:val="24"/>
          <w:szCs w:val="24"/>
        </w:rPr>
        <w:t xml:space="preserve"> 25 mil</w:t>
      </w:r>
      <w:r w:rsidR="001D2AAD">
        <w:rPr>
          <w:rFonts w:ascii="Times New Roman" w:eastAsia="Calibri" w:hAnsi="Times New Roman" w:cs="Times New Roman"/>
          <w:sz w:val="24"/>
          <w:szCs w:val="24"/>
        </w:rPr>
        <w:t>ijuna</w:t>
      </w:r>
      <w:r w:rsidR="00E9095A" w:rsidRPr="00D61F56">
        <w:rPr>
          <w:rFonts w:ascii="Times New Roman" w:eastAsia="Calibri" w:hAnsi="Times New Roman" w:cs="Times New Roman"/>
          <w:sz w:val="24"/>
          <w:szCs w:val="24"/>
        </w:rPr>
        <w:t xml:space="preserve"> kuna za robe i usluge te </w:t>
      </w:r>
      <w:r w:rsidR="001D2AAD">
        <w:rPr>
          <w:rFonts w:ascii="Times New Roman" w:eastAsia="Calibri" w:hAnsi="Times New Roman" w:cs="Times New Roman"/>
          <w:sz w:val="24"/>
          <w:szCs w:val="24"/>
        </w:rPr>
        <w:t>do</w:t>
      </w:r>
      <w:r w:rsidR="00E9095A" w:rsidRPr="00D61F56">
        <w:rPr>
          <w:rFonts w:ascii="Times New Roman" w:eastAsia="Calibri" w:hAnsi="Times New Roman" w:cs="Times New Roman"/>
          <w:sz w:val="24"/>
          <w:szCs w:val="24"/>
        </w:rPr>
        <w:t xml:space="preserve"> 100 mil</w:t>
      </w:r>
      <w:r w:rsidR="001D2AAD">
        <w:rPr>
          <w:rFonts w:ascii="Times New Roman" w:eastAsia="Calibri" w:hAnsi="Times New Roman" w:cs="Times New Roman"/>
          <w:sz w:val="24"/>
          <w:szCs w:val="24"/>
        </w:rPr>
        <w:t>ijuna</w:t>
      </w:r>
      <w:r w:rsidR="00E9095A" w:rsidRPr="00D61F56">
        <w:rPr>
          <w:rFonts w:ascii="Times New Roman" w:eastAsia="Calibri" w:hAnsi="Times New Roman" w:cs="Times New Roman"/>
          <w:sz w:val="24"/>
          <w:szCs w:val="24"/>
        </w:rPr>
        <w:t xml:space="preserve"> kuna za radove</w:t>
      </w:r>
      <w:r w:rsidR="00E9095A" w:rsidRPr="00E9095A" w:rsidDel="001F00AB">
        <w:rPr>
          <w:rFonts w:ascii="Times New Roman" w:eastAsia="Calibri" w:hAnsi="Times New Roman" w:cs="Times New Roman"/>
          <w:sz w:val="24"/>
          <w:szCs w:val="24"/>
        </w:rPr>
        <w:t xml:space="preserve"> </w:t>
      </w:r>
      <w:r w:rsidR="001F00AB">
        <w:rPr>
          <w:rFonts w:ascii="Times New Roman" w:eastAsia="Calibri" w:hAnsi="Times New Roman" w:cs="Times New Roman"/>
          <w:sz w:val="24"/>
          <w:szCs w:val="24"/>
        </w:rPr>
        <w:t>se</w:t>
      </w:r>
      <w:r>
        <w:rPr>
          <w:rFonts w:ascii="Times New Roman" w:eastAsia="Calibri" w:hAnsi="Times New Roman" w:cs="Times New Roman"/>
          <w:sz w:val="24"/>
          <w:szCs w:val="24"/>
        </w:rPr>
        <w:t xml:space="preserve"> provjeravaju u PT</w:t>
      </w:r>
      <w:r w:rsidR="004C6D1E">
        <w:rPr>
          <w:rFonts w:ascii="Times New Roman" w:eastAsia="Calibri" w:hAnsi="Times New Roman" w:cs="Times New Roman"/>
          <w:sz w:val="24"/>
          <w:szCs w:val="24"/>
        </w:rPr>
        <w:t xml:space="preserve">-u </w:t>
      </w:r>
      <w:r>
        <w:rPr>
          <w:rFonts w:ascii="Times New Roman" w:eastAsia="Calibri" w:hAnsi="Times New Roman" w:cs="Times New Roman"/>
          <w:sz w:val="24"/>
          <w:szCs w:val="24"/>
        </w:rPr>
        <w:t>2</w:t>
      </w:r>
      <w:r w:rsidR="001F2508">
        <w:rPr>
          <w:rFonts w:ascii="Times New Roman" w:eastAsia="Calibri" w:hAnsi="Times New Roman" w:cs="Times New Roman"/>
          <w:sz w:val="24"/>
          <w:szCs w:val="24"/>
        </w:rPr>
        <w:t xml:space="preserve"> ili SAFU</w:t>
      </w:r>
      <w:r w:rsidR="004C6D1E">
        <w:rPr>
          <w:rFonts w:ascii="Times New Roman" w:eastAsia="Calibri" w:hAnsi="Times New Roman" w:cs="Times New Roman"/>
          <w:sz w:val="24"/>
          <w:szCs w:val="24"/>
        </w:rPr>
        <w:t>-u</w:t>
      </w:r>
      <w:r>
        <w:rPr>
          <w:rFonts w:ascii="Times New Roman" w:eastAsia="Calibri" w:hAnsi="Times New Roman" w:cs="Times New Roman"/>
          <w:sz w:val="24"/>
          <w:szCs w:val="24"/>
        </w:rPr>
        <w:t xml:space="preserve"> u skladu sa sljedećom metodologijom, koja predstavlja minimum standarda koji je potrebno primijeniti:</w:t>
      </w:r>
    </w:p>
    <w:p w14:paraId="46EE944C" w14:textId="434BE11B" w:rsidR="001F2508" w:rsidRPr="00C9462B" w:rsidRDefault="0072532C" w:rsidP="00C9462B">
      <w:pPr>
        <w:pStyle w:val="ListParagraph"/>
        <w:numPr>
          <w:ilvl w:val="1"/>
          <w:numId w:val="1"/>
        </w:numPr>
        <w:jc w:val="both"/>
        <w:rPr>
          <w:rFonts w:ascii="Times New Roman" w:eastAsia="Calibri" w:hAnsi="Times New Roman" w:cs="Times New Roman"/>
          <w:b/>
          <w:sz w:val="24"/>
          <w:szCs w:val="24"/>
        </w:rPr>
      </w:pPr>
      <w:r w:rsidRPr="00C9462B">
        <w:rPr>
          <w:rFonts w:ascii="Times New Roman" w:eastAsia="Calibri" w:hAnsi="Times New Roman" w:cs="Times New Roman"/>
          <w:b/>
          <w:sz w:val="24"/>
          <w:szCs w:val="24"/>
        </w:rPr>
        <w:lastRenderedPageBreak/>
        <w:t>Metodologija analize</w:t>
      </w:r>
      <w:r w:rsidR="001F2508" w:rsidRPr="00C9462B">
        <w:rPr>
          <w:rFonts w:ascii="Times New Roman" w:eastAsia="Calibri" w:hAnsi="Times New Roman" w:cs="Times New Roman"/>
          <w:b/>
          <w:sz w:val="24"/>
          <w:szCs w:val="24"/>
        </w:rPr>
        <w:t xml:space="preserve"> rizika</w:t>
      </w:r>
      <w:r w:rsidRPr="00C9462B">
        <w:rPr>
          <w:rFonts w:ascii="Times New Roman" w:eastAsia="Calibri" w:hAnsi="Times New Roman" w:cs="Times New Roman"/>
          <w:b/>
          <w:sz w:val="24"/>
          <w:szCs w:val="24"/>
        </w:rPr>
        <w:t xml:space="preserve"> nabava za ex-ante provjeru</w:t>
      </w:r>
    </w:p>
    <w:p w14:paraId="7027D60F" w14:textId="77777777" w:rsidR="00C9462B" w:rsidRPr="00C9462B" w:rsidRDefault="00C9462B" w:rsidP="00C9462B">
      <w:pPr>
        <w:pStyle w:val="ListParagraph"/>
        <w:ind w:left="900"/>
        <w:jc w:val="both"/>
        <w:rPr>
          <w:rFonts w:ascii="Times New Roman" w:eastAsia="Calibri" w:hAnsi="Times New Roman" w:cs="Times New Roman"/>
          <w:b/>
          <w:sz w:val="24"/>
          <w:szCs w:val="24"/>
        </w:rPr>
      </w:pPr>
    </w:p>
    <w:p w14:paraId="0BB3A2E0" w14:textId="60CCBCB9" w:rsidR="00AA5B22" w:rsidRPr="001D2AAD" w:rsidRDefault="00C9462B" w:rsidP="00C9462B">
      <w:pPr>
        <w:pStyle w:val="ListParagraph"/>
        <w:ind w:left="1080"/>
        <w:jc w:val="both"/>
        <w:rPr>
          <w:rFonts w:ascii="Times New Roman" w:eastAsia="Calibri" w:hAnsi="Times New Roman" w:cs="Times New Roman"/>
          <w:b/>
          <w:i/>
          <w:sz w:val="24"/>
          <w:szCs w:val="24"/>
        </w:rPr>
      </w:pPr>
      <w:r>
        <w:rPr>
          <w:rFonts w:ascii="Times New Roman" w:eastAsia="Calibri" w:hAnsi="Times New Roman" w:cs="Times New Roman"/>
          <w:b/>
          <w:i/>
          <w:sz w:val="24"/>
          <w:szCs w:val="24"/>
        </w:rPr>
        <w:t xml:space="preserve">2.1.1. </w:t>
      </w:r>
      <w:r w:rsidR="00AA5B22" w:rsidRPr="001D2AAD">
        <w:rPr>
          <w:rFonts w:ascii="Times New Roman" w:eastAsia="Calibri" w:hAnsi="Times New Roman" w:cs="Times New Roman"/>
          <w:b/>
          <w:i/>
          <w:sz w:val="24"/>
          <w:szCs w:val="24"/>
        </w:rPr>
        <w:t>Neobveznici Zakona o javnoj nabavi (NOJN)</w:t>
      </w:r>
    </w:p>
    <w:p w14:paraId="6B6BAC4C" w14:textId="057C2347" w:rsidR="007A4A79" w:rsidRDefault="007A4A79" w:rsidP="007A4A79">
      <w:pPr>
        <w:jc w:val="both"/>
        <w:rPr>
          <w:rFonts w:ascii="Times New Roman" w:eastAsia="Calibri" w:hAnsi="Times New Roman" w:cs="Times New Roman"/>
          <w:sz w:val="24"/>
          <w:szCs w:val="24"/>
        </w:rPr>
      </w:pPr>
      <w:r>
        <w:rPr>
          <w:rFonts w:ascii="Times New Roman" w:eastAsia="Calibri" w:hAnsi="Times New Roman" w:cs="Times New Roman"/>
          <w:sz w:val="24"/>
          <w:szCs w:val="24"/>
        </w:rPr>
        <w:t>Faktori i bodovi koji će se uzeti u obzir za analizu su:</w:t>
      </w:r>
    </w:p>
    <w:p w14:paraId="1CBDD1A7" w14:textId="05D14C5C" w:rsidR="007A4A79" w:rsidRDefault="007A4A79" w:rsidP="007A4A79">
      <w:pPr>
        <w:jc w:val="both"/>
        <w:rPr>
          <w:rFonts w:ascii="Times New Roman" w:eastAsia="Calibri" w:hAnsi="Times New Roman" w:cs="Times New Roman"/>
          <w:sz w:val="24"/>
          <w:szCs w:val="24"/>
        </w:rPr>
      </w:pPr>
      <w:r w:rsidRPr="00F5043C">
        <w:rPr>
          <w:rFonts w:ascii="Times New Roman" w:eastAsia="Calibri" w:hAnsi="Times New Roman" w:cs="Times New Roman"/>
          <w:sz w:val="24"/>
          <w:szCs w:val="24"/>
        </w:rPr>
        <w:t xml:space="preserve">- u odnosu na grupe nabave: ako je riječ o </w:t>
      </w:r>
      <w:r w:rsidR="00AE3383">
        <w:rPr>
          <w:rFonts w:ascii="Times New Roman" w:eastAsia="Calibri" w:hAnsi="Times New Roman" w:cs="Times New Roman"/>
          <w:sz w:val="24"/>
          <w:szCs w:val="24"/>
        </w:rPr>
        <w:t>tri</w:t>
      </w:r>
      <w:r w:rsidR="00AE3383" w:rsidRPr="00F5043C">
        <w:rPr>
          <w:rFonts w:ascii="Times New Roman" w:eastAsia="Calibri" w:hAnsi="Times New Roman" w:cs="Times New Roman"/>
          <w:sz w:val="24"/>
          <w:szCs w:val="24"/>
        </w:rPr>
        <w:t xml:space="preserve"> </w:t>
      </w:r>
      <w:r w:rsidRPr="00F5043C">
        <w:rPr>
          <w:rFonts w:ascii="Times New Roman" w:eastAsia="Calibri" w:hAnsi="Times New Roman" w:cs="Times New Roman"/>
          <w:sz w:val="24"/>
          <w:szCs w:val="24"/>
        </w:rPr>
        <w:t>ili više grupa nabave</w:t>
      </w:r>
      <w:r w:rsidR="00C9462B">
        <w:rPr>
          <w:rFonts w:ascii="Times New Roman" w:eastAsia="Calibri" w:hAnsi="Times New Roman" w:cs="Times New Roman"/>
          <w:sz w:val="24"/>
          <w:szCs w:val="24"/>
        </w:rPr>
        <w:t>.</w:t>
      </w:r>
      <w:r w:rsidR="001D2AAD">
        <w:rPr>
          <w:rFonts w:ascii="Times New Roman" w:eastAsia="Calibri" w:hAnsi="Times New Roman" w:cs="Times New Roman"/>
          <w:sz w:val="24"/>
          <w:szCs w:val="24"/>
        </w:rPr>
        <w:t xml:space="preserve"> </w:t>
      </w:r>
      <w:r w:rsidR="00C9462B">
        <w:rPr>
          <w:rFonts w:ascii="Times New Roman" w:eastAsia="Calibri" w:hAnsi="Times New Roman" w:cs="Times New Roman"/>
          <w:sz w:val="24"/>
          <w:szCs w:val="24"/>
        </w:rPr>
        <w:t>Ako</w:t>
      </w:r>
      <w:r w:rsidR="001D2AAD">
        <w:rPr>
          <w:rFonts w:ascii="Times New Roman" w:eastAsia="Calibri" w:hAnsi="Times New Roman" w:cs="Times New Roman"/>
          <w:sz w:val="24"/>
          <w:szCs w:val="24"/>
        </w:rPr>
        <w:t xml:space="preserve"> </w:t>
      </w:r>
      <w:r w:rsidR="00AE3383">
        <w:rPr>
          <w:rFonts w:ascii="Times New Roman" w:eastAsia="Calibri" w:hAnsi="Times New Roman" w:cs="Times New Roman"/>
          <w:sz w:val="24"/>
          <w:szCs w:val="24"/>
        </w:rPr>
        <w:t xml:space="preserve">PT2 ocijeni kako je </w:t>
      </w:r>
      <w:r w:rsidR="001D2AAD">
        <w:rPr>
          <w:rFonts w:ascii="Times New Roman" w:eastAsia="Calibri" w:hAnsi="Times New Roman" w:cs="Times New Roman"/>
          <w:sz w:val="24"/>
          <w:szCs w:val="24"/>
        </w:rPr>
        <w:t xml:space="preserve">to </w:t>
      </w:r>
      <w:r w:rsidR="00AE3383">
        <w:rPr>
          <w:rFonts w:ascii="Times New Roman" w:eastAsia="Calibri" w:hAnsi="Times New Roman" w:cs="Times New Roman"/>
          <w:sz w:val="24"/>
          <w:szCs w:val="24"/>
        </w:rPr>
        <w:t>potrebno, može primijeniti i stroži kriterij (dodjelu 2 boda ukoliko nabava ima dvije ili više grupa nabave)</w:t>
      </w:r>
      <w:r w:rsidR="008D76C1">
        <w:rPr>
          <w:rFonts w:ascii="Times New Roman" w:eastAsia="Calibri" w:hAnsi="Times New Roman" w:cs="Times New Roman"/>
          <w:sz w:val="24"/>
          <w:szCs w:val="24"/>
        </w:rPr>
        <w:t xml:space="preserve">: </w:t>
      </w:r>
      <w:r w:rsidR="008D76C1" w:rsidRPr="00F5043C">
        <w:rPr>
          <w:rFonts w:ascii="Times New Roman" w:eastAsia="Calibri" w:hAnsi="Times New Roman" w:cs="Times New Roman"/>
          <w:sz w:val="24"/>
          <w:szCs w:val="24"/>
        </w:rPr>
        <w:t>ne -  dodjeljuje se 0 bodova</w:t>
      </w:r>
      <w:r w:rsidR="008D76C1">
        <w:rPr>
          <w:rFonts w:ascii="Times New Roman" w:eastAsia="Calibri" w:hAnsi="Times New Roman" w:cs="Times New Roman"/>
          <w:sz w:val="24"/>
          <w:szCs w:val="24"/>
        </w:rPr>
        <w:t xml:space="preserve"> </w:t>
      </w:r>
      <w:r w:rsidR="008D76C1" w:rsidRPr="00F5043C">
        <w:rPr>
          <w:rFonts w:ascii="Times New Roman" w:eastAsia="Calibri" w:hAnsi="Times New Roman" w:cs="Times New Roman"/>
          <w:sz w:val="24"/>
          <w:szCs w:val="24"/>
        </w:rPr>
        <w:t>/</w:t>
      </w:r>
      <w:r w:rsidR="008D76C1">
        <w:rPr>
          <w:rFonts w:ascii="Times New Roman" w:eastAsia="Calibri" w:hAnsi="Times New Roman" w:cs="Times New Roman"/>
          <w:sz w:val="24"/>
          <w:szCs w:val="24"/>
        </w:rPr>
        <w:t xml:space="preserve"> </w:t>
      </w:r>
      <w:r w:rsidR="008D76C1" w:rsidRPr="00F5043C">
        <w:rPr>
          <w:rFonts w:ascii="Times New Roman" w:eastAsia="Calibri" w:hAnsi="Times New Roman" w:cs="Times New Roman"/>
          <w:sz w:val="24"/>
          <w:szCs w:val="24"/>
        </w:rPr>
        <w:t>da – dodjeljuju se 2 boda</w:t>
      </w:r>
    </w:p>
    <w:p w14:paraId="24CA2D9B" w14:textId="395AEEE1" w:rsidR="00762742" w:rsidRDefault="001D2AAD" w:rsidP="00762742">
      <w:pPr>
        <w:jc w:val="both"/>
        <w:rPr>
          <w:rFonts w:ascii="Times New Roman" w:eastAsia="Calibri" w:hAnsi="Times New Roman" w:cs="Times New Roman"/>
          <w:sz w:val="24"/>
          <w:szCs w:val="24"/>
        </w:rPr>
      </w:pPr>
      <w:r>
        <w:rPr>
          <w:rFonts w:ascii="Times New Roman" w:eastAsia="Calibri" w:hAnsi="Times New Roman" w:cs="Times New Roman"/>
          <w:sz w:val="24"/>
          <w:szCs w:val="24"/>
        </w:rPr>
        <w:t>- p</w:t>
      </w:r>
      <w:r w:rsidR="00762742" w:rsidRPr="00EA21AE">
        <w:rPr>
          <w:rFonts w:ascii="Times New Roman" w:eastAsia="Calibri" w:hAnsi="Times New Roman" w:cs="Times New Roman"/>
          <w:sz w:val="24"/>
          <w:szCs w:val="24"/>
        </w:rPr>
        <w:t>redmet nabave</w:t>
      </w:r>
      <w:r w:rsidR="00762742">
        <w:rPr>
          <w:rFonts w:ascii="Times New Roman" w:eastAsia="Calibri" w:hAnsi="Times New Roman" w:cs="Times New Roman"/>
          <w:sz w:val="24"/>
          <w:szCs w:val="24"/>
        </w:rPr>
        <w:t xml:space="preserve"> je</w:t>
      </w:r>
      <w:r w:rsidR="00762742" w:rsidRPr="00EA21AE">
        <w:rPr>
          <w:rFonts w:ascii="Times New Roman" w:eastAsia="Calibri" w:hAnsi="Times New Roman" w:cs="Times New Roman"/>
          <w:sz w:val="24"/>
          <w:szCs w:val="24"/>
        </w:rPr>
        <w:t xml:space="preserve"> izvođenje građevinskih radova: ne -  dodjeljuje se</w:t>
      </w:r>
      <w:r w:rsidR="00762742">
        <w:rPr>
          <w:rFonts w:ascii="Times New Roman" w:eastAsia="Calibri" w:hAnsi="Times New Roman" w:cs="Times New Roman"/>
          <w:sz w:val="24"/>
          <w:szCs w:val="24"/>
        </w:rPr>
        <w:t xml:space="preserve"> 0 bodova / da – dodjeljuje se 1 bod.</w:t>
      </w:r>
      <w:r w:rsidR="00762742" w:rsidRPr="00EA21AE">
        <w:rPr>
          <w:rFonts w:ascii="Times New Roman" w:eastAsia="Calibri" w:hAnsi="Times New Roman" w:cs="Times New Roman"/>
          <w:sz w:val="24"/>
          <w:szCs w:val="24"/>
        </w:rPr>
        <w:t xml:space="preserve"> </w:t>
      </w:r>
    </w:p>
    <w:p w14:paraId="0D389827" w14:textId="5E179E66" w:rsidR="00EA21AE" w:rsidRPr="00F5043C" w:rsidRDefault="00EA21AE" w:rsidP="007A4A79">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A21AE">
        <w:rPr>
          <w:rFonts w:ascii="Times New Roman" w:eastAsia="Calibri" w:hAnsi="Times New Roman" w:cs="Times New Roman"/>
          <w:sz w:val="24"/>
          <w:szCs w:val="24"/>
        </w:rPr>
        <w:t xml:space="preserve">predmet nabave </w:t>
      </w:r>
      <w:r>
        <w:rPr>
          <w:rFonts w:ascii="Times New Roman" w:eastAsia="Calibri" w:hAnsi="Times New Roman" w:cs="Times New Roman"/>
          <w:sz w:val="24"/>
          <w:szCs w:val="24"/>
        </w:rPr>
        <w:t>je</w:t>
      </w:r>
      <w:r w:rsidRPr="00EA21AE">
        <w:rPr>
          <w:rFonts w:ascii="Times New Roman" w:eastAsia="Calibri" w:hAnsi="Times New Roman" w:cs="Times New Roman"/>
          <w:sz w:val="24"/>
          <w:szCs w:val="24"/>
        </w:rPr>
        <w:t xml:space="preserve"> izvođenje građevinskih radova </w:t>
      </w:r>
      <w:r w:rsidR="008D76C1">
        <w:rPr>
          <w:rFonts w:ascii="Times New Roman" w:eastAsia="Calibri" w:hAnsi="Times New Roman" w:cs="Times New Roman"/>
          <w:sz w:val="24"/>
          <w:szCs w:val="24"/>
        </w:rPr>
        <w:t>na dvije ili više lokacija</w:t>
      </w:r>
      <w:r w:rsidR="008D76C1">
        <w:rPr>
          <w:rStyle w:val="FootnoteReference"/>
          <w:rFonts w:ascii="Times New Roman" w:eastAsia="Calibri" w:hAnsi="Times New Roman" w:cs="Times New Roman"/>
          <w:sz w:val="24"/>
          <w:szCs w:val="24"/>
        </w:rPr>
        <w:footnoteReference w:id="1"/>
      </w:r>
      <w:r w:rsidRPr="00EA21AE">
        <w:rPr>
          <w:rFonts w:ascii="Times New Roman" w:eastAsia="Calibri" w:hAnsi="Times New Roman" w:cs="Times New Roman"/>
          <w:sz w:val="24"/>
          <w:szCs w:val="24"/>
        </w:rPr>
        <w:t xml:space="preserve">: </w:t>
      </w:r>
      <w:r w:rsidR="008D76C1" w:rsidRPr="00F5043C">
        <w:rPr>
          <w:rFonts w:ascii="Times New Roman" w:eastAsia="Calibri" w:hAnsi="Times New Roman" w:cs="Times New Roman"/>
          <w:sz w:val="24"/>
          <w:szCs w:val="24"/>
        </w:rPr>
        <w:t>ne -  dodjeljuje se 0 bodova</w:t>
      </w:r>
      <w:r w:rsidR="008D76C1">
        <w:rPr>
          <w:rFonts w:ascii="Times New Roman" w:eastAsia="Calibri" w:hAnsi="Times New Roman" w:cs="Times New Roman"/>
          <w:sz w:val="24"/>
          <w:szCs w:val="24"/>
        </w:rPr>
        <w:t xml:space="preserve"> </w:t>
      </w:r>
      <w:r w:rsidR="008D76C1" w:rsidRPr="00F5043C">
        <w:rPr>
          <w:rFonts w:ascii="Times New Roman" w:eastAsia="Calibri" w:hAnsi="Times New Roman" w:cs="Times New Roman"/>
          <w:sz w:val="24"/>
          <w:szCs w:val="24"/>
        </w:rPr>
        <w:t>/</w:t>
      </w:r>
      <w:r w:rsidR="008D76C1">
        <w:rPr>
          <w:rFonts w:ascii="Times New Roman" w:eastAsia="Calibri" w:hAnsi="Times New Roman" w:cs="Times New Roman"/>
          <w:sz w:val="24"/>
          <w:szCs w:val="24"/>
        </w:rPr>
        <w:t xml:space="preserve"> </w:t>
      </w:r>
      <w:r w:rsidR="008D76C1" w:rsidRPr="00F5043C">
        <w:rPr>
          <w:rFonts w:ascii="Times New Roman" w:eastAsia="Calibri" w:hAnsi="Times New Roman" w:cs="Times New Roman"/>
          <w:sz w:val="24"/>
          <w:szCs w:val="24"/>
        </w:rPr>
        <w:t>da – dodjeljuju se 2 boda</w:t>
      </w:r>
      <w:r w:rsidR="008D76C1">
        <w:rPr>
          <w:rFonts w:ascii="Times New Roman" w:eastAsia="Calibri" w:hAnsi="Times New Roman" w:cs="Times New Roman"/>
          <w:sz w:val="24"/>
          <w:szCs w:val="24"/>
        </w:rPr>
        <w:t>.</w:t>
      </w:r>
    </w:p>
    <w:p w14:paraId="3920B8D4" w14:textId="2F19A509" w:rsidR="007A4A79" w:rsidRPr="00F5043C" w:rsidRDefault="007A4A79" w:rsidP="007A4A79">
      <w:pPr>
        <w:jc w:val="both"/>
        <w:rPr>
          <w:rFonts w:ascii="Times New Roman" w:eastAsia="Calibri" w:hAnsi="Times New Roman" w:cs="Times New Roman"/>
          <w:sz w:val="24"/>
          <w:szCs w:val="24"/>
        </w:rPr>
      </w:pPr>
      <w:r w:rsidRPr="00F5043C">
        <w:rPr>
          <w:rFonts w:ascii="Times New Roman" w:eastAsia="Calibri" w:hAnsi="Times New Roman" w:cs="Times New Roman"/>
          <w:sz w:val="24"/>
          <w:szCs w:val="24"/>
        </w:rPr>
        <w:t>- u odnosu na udio nabave u projektu: ako je veći od 33%</w:t>
      </w:r>
      <w:r w:rsidR="00C9462B">
        <w:rPr>
          <w:rFonts w:ascii="Times New Roman" w:eastAsia="Calibri" w:hAnsi="Times New Roman" w:cs="Times New Roman"/>
          <w:sz w:val="24"/>
          <w:szCs w:val="24"/>
        </w:rPr>
        <w:t xml:space="preserve">. Ako </w:t>
      </w:r>
      <w:r w:rsidR="00AA5B22">
        <w:rPr>
          <w:rFonts w:ascii="Times New Roman" w:eastAsia="Calibri" w:hAnsi="Times New Roman" w:cs="Times New Roman"/>
          <w:sz w:val="24"/>
          <w:szCs w:val="24"/>
        </w:rPr>
        <w:t xml:space="preserve">PT2 ocijeni kako je </w:t>
      </w:r>
      <w:r w:rsidR="001D2AAD">
        <w:rPr>
          <w:rFonts w:ascii="Times New Roman" w:eastAsia="Calibri" w:hAnsi="Times New Roman" w:cs="Times New Roman"/>
          <w:sz w:val="24"/>
          <w:szCs w:val="24"/>
        </w:rPr>
        <w:t>to</w:t>
      </w:r>
      <w:r w:rsidR="00AA5B22">
        <w:rPr>
          <w:rFonts w:ascii="Times New Roman" w:eastAsia="Calibri" w:hAnsi="Times New Roman" w:cs="Times New Roman"/>
          <w:sz w:val="24"/>
          <w:szCs w:val="24"/>
        </w:rPr>
        <w:t xml:space="preserve"> potrebno, može primijeniti i stroži kriterij (umanjiti % udio nabave u vrijednosti projekta)</w:t>
      </w:r>
      <w:r w:rsidR="008D76C1">
        <w:rPr>
          <w:rFonts w:ascii="Times New Roman" w:eastAsia="Calibri" w:hAnsi="Times New Roman" w:cs="Times New Roman"/>
          <w:sz w:val="24"/>
          <w:szCs w:val="24"/>
        </w:rPr>
        <w:t xml:space="preserve">: </w:t>
      </w:r>
      <w:r w:rsidR="008D76C1" w:rsidRPr="00F5043C">
        <w:rPr>
          <w:rFonts w:ascii="Times New Roman" w:eastAsia="Calibri" w:hAnsi="Times New Roman" w:cs="Times New Roman"/>
          <w:sz w:val="24"/>
          <w:szCs w:val="24"/>
        </w:rPr>
        <w:t>ne -  dodjeljuje se 0 bodova</w:t>
      </w:r>
      <w:r w:rsidR="008D76C1">
        <w:rPr>
          <w:rFonts w:ascii="Times New Roman" w:eastAsia="Calibri" w:hAnsi="Times New Roman" w:cs="Times New Roman"/>
          <w:sz w:val="24"/>
          <w:szCs w:val="24"/>
        </w:rPr>
        <w:t xml:space="preserve"> </w:t>
      </w:r>
      <w:r w:rsidR="008D76C1" w:rsidRPr="00F5043C">
        <w:rPr>
          <w:rFonts w:ascii="Times New Roman" w:eastAsia="Calibri" w:hAnsi="Times New Roman" w:cs="Times New Roman"/>
          <w:sz w:val="24"/>
          <w:szCs w:val="24"/>
        </w:rPr>
        <w:t>/</w:t>
      </w:r>
      <w:r w:rsidR="008D76C1">
        <w:rPr>
          <w:rFonts w:ascii="Times New Roman" w:eastAsia="Calibri" w:hAnsi="Times New Roman" w:cs="Times New Roman"/>
          <w:sz w:val="24"/>
          <w:szCs w:val="24"/>
        </w:rPr>
        <w:t xml:space="preserve"> </w:t>
      </w:r>
      <w:r w:rsidR="008D76C1" w:rsidRPr="00F5043C">
        <w:rPr>
          <w:rFonts w:ascii="Times New Roman" w:eastAsia="Calibri" w:hAnsi="Times New Roman" w:cs="Times New Roman"/>
          <w:sz w:val="24"/>
          <w:szCs w:val="24"/>
        </w:rPr>
        <w:t>da – dodjeljuju se 2 boda</w:t>
      </w:r>
      <w:r w:rsidR="00AA5B22">
        <w:rPr>
          <w:rFonts w:ascii="Times New Roman" w:eastAsia="Calibri" w:hAnsi="Times New Roman" w:cs="Times New Roman"/>
          <w:sz w:val="24"/>
          <w:szCs w:val="24"/>
        </w:rPr>
        <w:t xml:space="preserve"> </w:t>
      </w:r>
    </w:p>
    <w:p w14:paraId="6262B81F" w14:textId="4803271A" w:rsidR="007A4A79" w:rsidRPr="00F5043C" w:rsidRDefault="007A4A79" w:rsidP="007A4A79">
      <w:pPr>
        <w:jc w:val="both"/>
        <w:rPr>
          <w:rFonts w:ascii="Times New Roman" w:eastAsia="Calibri" w:hAnsi="Times New Roman" w:cs="Times New Roman"/>
          <w:sz w:val="24"/>
          <w:szCs w:val="24"/>
        </w:rPr>
      </w:pPr>
      <w:r w:rsidRPr="00F5043C">
        <w:rPr>
          <w:rFonts w:ascii="Times New Roman" w:eastAsia="Calibri" w:hAnsi="Times New Roman" w:cs="Times New Roman"/>
          <w:sz w:val="24"/>
          <w:szCs w:val="24"/>
        </w:rPr>
        <w:t>- prethodno iskustvo u provedbi postupaka nabave</w:t>
      </w:r>
      <w:r w:rsidR="005315EB">
        <w:rPr>
          <w:rFonts w:ascii="Times New Roman" w:eastAsia="Calibri" w:hAnsi="Times New Roman" w:cs="Times New Roman"/>
          <w:sz w:val="24"/>
          <w:szCs w:val="24"/>
        </w:rPr>
        <w:t xml:space="preserve"> sukladno Pravilima</w:t>
      </w:r>
      <w:r w:rsidR="005315EB" w:rsidRPr="005315EB">
        <w:rPr>
          <w:rFonts w:ascii="Times New Roman" w:eastAsia="Calibri" w:hAnsi="Times New Roman" w:cs="Times New Roman"/>
          <w:sz w:val="24"/>
          <w:szCs w:val="24"/>
        </w:rPr>
        <w:t xml:space="preserve"> o provedbi postupaka nabava za neobveznike zakona o javnoj nabavi</w:t>
      </w:r>
      <w:r w:rsidR="005315EB">
        <w:rPr>
          <w:rFonts w:ascii="Times New Roman" w:eastAsia="Calibri" w:hAnsi="Times New Roman" w:cs="Times New Roman"/>
          <w:sz w:val="24"/>
          <w:szCs w:val="24"/>
        </w:rPr>
        <w:t xml:space="preserve"> u </w:t>
      </w:r>
      <w:r w:rsidR="00BA7CFC">
        <w:rPr>
          <w:rFonts w:ascii="Times New Roman" w:eastAsia="Calibri" w:hAnsi="Times New Roman" w:cs="Times New Roman"/>
          <w:sz w:val="24"/>
          <w:szCs w:val="24"/>
        </w:rPr>
        <w:t>okviru</w:t>
      </w:r>
      <w:r w:rsidR="005315EB">
        <w:rPr>
          <w:rFonts w:ascii="Times New Roman" w:eastAsia="Calibri" w:hAnsi="Times New Roman" w:cs="Times New Roman"/>
          <w:sz w:val="24"/>
          <w:szCs w:val="24"/>
        </w:rPr>
        <w:t xml:space="preserve"> EU sufinanciranih projekata</w:t>
      </w:r>
      <w:r w:rsidRPr="00F5043C">
        <w:rPr>
          <w:rFonts w:ascii="Times New Roman" w:eastAsia="Calibri" w:hAnsi="Times New Roman" w:cs="Times New Roman"/>
          <w:sz w:val="24"/>
          <w:szCs w:val="24"/>
        </w:rPr>
        <w:t>:  da – dodjeljuje se 0 bodova/ne –dodjeljuju se 2 boda</w:t>
      </w:r>
    </w:p>
    <w:p w14:paraId="003E572E" w14:textId="75D854E8" w:rsidR="007A4A79" w:rsidRPr="00F55397" w:rsidRDefault="007A4A79" w:rsidP="007A4A79">
      <w:pPr>
        <w:jc w:val="both"/>
        <w:rPr>
          <w:rFonts w:ascii="Times New Roman" w:eastAsia="Calibri" w:hAnsi="Times New Roman" w:cs="Times New Roman"/>
          <w:sz w:val="24"/>
          <w:szCs w:val="24"/>
        </w:rPr>
      </w:pPr>
      <w:r w:rsidRPr="00F55397">
        <w:rPr>
          <w:rFonts w:ascii="Times New Roman" w:eastAsia="Calibri" w:hAnsi="Times New Roman" w:cs="Times New Roman"/>
          <w:sz w:val="24"/>
          <w:szCs w:val="24"/>
        </w:rPr>
        <w:t>- financijske korekcije koje su korisniku određene u vezi provođenja postupka nabave u zadnje dvije godine</w:t>
      </w:r>
      <w:r w:rsidR="00A514D1" w:rsidRPr="00F55397">
        <w:rPr>
          <w:rStyle w:val="FootnoteReference"/>
          <w:rFonts w:ascii="Times New Roman" w:eastAsia="Calibri" w:hAnsi="Times New Roman" w:cs="Times New Roman"/>
          <w:sz w:val="24"/>
          <w:szCs w:val="24"/>
        </w:rPr>
        <w:footnoteReference w:id="2"/>
      </w:r>
      <w:r w:rsidR="005315EB" w:rsidRPr="00F55397">
        <w:rPr>
          <w:rFonts w:ascii="Times New Roman" w:eastAsia="Calibri" w:hAnsi="Times New Roman" w:cs="Times New Roman"/>
          <w:sz w:val="24"/>
          <w:szCs w:val="24"/>
        </w:rPr>
        <w:t xml:space="preserve">, a koje PT2 može potvrditi u </w:t>
      </w:r>
      <w:r w:rsidR="00BA7CFC">
        <w:rPr>
          <w:rFonts w:ascii="Times New Roman" w:eastAsia="Calibri" w:hAnsi="Times New Roman" w:cs="Times New Roman"/>
          <w:sz w:val="24"/>
          <w:szCs w:val="24"/>
        </w:rPr>
        <w:t>okviru</w:t>
      </w:r>
      <w:r w:rsidR="005315EB" w:rsidRPr="00F55397">
        <w:rPr>
          <w:rFonts w:ascii="Times New Roman" w:eastAsia="Calibri" w:hAnsi="Times New Roman" w:cs="Times New Roman"/>
          <w:sz w:val="24"/>
          <w:szCs w:val="24"/>
        </w:rPr>
        <w:t xml:space="preserve"> svog registra nepravilnosti</w:t>
      </w:r>
      <w:r w:rsidRPr="00F55397">
        <w:rPr>
          <w:rFonts w:ascii="Times New Roman" w:eastAsia="Calibri" w:hAnsi="Times New Roman" w:cs="Times New Roman"/>
          <w:sz w:val="24"/>
          <w:szCs w:val="24"/>
        </w:rPr>
        <w:t>:  ne -  dodjeljuje se 0 bodova / da – dodjeljuju se 2 boda.</w:t>
      </w:r>
    </w:p>
    <w:p w14:paraId="4EDF4888" w14:textId="0BC79D3B" w:rsidR="00EA21AE" w:rsidRDefault="00EA21AE" w:rsidP="007A4A79">
      <w:pPr>
        <w:jc w:val="both"/>
        <w:rPr>
          <w:rFonts w:ascii="Times New Roman" w:eastAsia="Calibri" w:hAnsi="Times New Roman" w:cs="Times New Roman"/>
          <w:sz w:val="24"/>
          <w:szCs w:val="24"/>
        </w:rPr>
      </w:pPr>
      <w:r w:rsidRPr="00F55397">
        <w:rPr>
          <w:rFonts w:ascii="Times New Roman" w:eastAsia="Calibri" w:hAnsi="Times New Roman" w:cs="Times New Roman"/>
          <w:sz w:val="24"/>
          <w:szCs w:val="24"/>
        </w:rPr>
        <w:t>- procijenjena vrijednost nabave roba ili usluga bez PDV-a je iznad 500.</w:t>
      </w:r>
      <w:r w:rsidRPr="00EA21AE">
        <w:rPr>
          <w:rFonts w:ascii="Times New Roman" w:eastAsia="Calibri" w:hAnsi="Times New Roman" w:cs="Times New Roman"/>
          <w:sz w:val="24"/>
          <w:szCs w:val="24"/>
        </w:rPr>
        <w:t>000,00 kuna, odnosno radova iznad milijun kuna: ne -  dodjeljuje se 0 bodova / da – dodjeljuju se 2 boda</w:t>
      </w:r>
      <w:r>
        <w:rPr>
          <w:rFonts w:ascii="Times New Roman" w:eastAsia="Calibri" w:hAnsi="Times New Roman" w:cs="Times New Roman"/>
          <w:sz w:val="24"/>
          <w:szCs w:val="24"/>
        </w:rPr>
        <w:t>.</w:t>
      </w:r>
    </w:p>
    <w:p w14:paraId="25BBA724" w14:textId="3A8DE4D1" w:rsidR="001A4A23" w:rsidRPr="00EA21AE" w:rsidRDefault="001A4A23" w:rsidP="00EA21AE">
      <w:pPr>
        <w:jc w:val="both"/>
        <w:rPr>
          <w:rFonts w:ascii="Times New Roman" w:eastAsia="Calibri" w:hAnsi="Times New Roman" w:cs="Times New Roman"/>
          <w:sz w:val="24"/>
          <w:szCs w:val="24"/>
        </w:rPr>
      </w:pPr>
      <w:r>
        <w:rPr>
          <w:rFonts w:ascii="Times New Roman" w:eastAsia="Calibri" w:hAnsi="Times New Roman" w:cs="Times New Roman"/>
          <w:sz w:val="24"/>
          <w:szCs w:val="24"/>
        </w:rPr>
        <w:t>Prilikom analize rizika kori</w:t>
      </w:r>
      <w:r w:rsidR="008D0BFC">
        <w:rPr>
          <w:rFonts w:ascii="Times New Roman" w:eastAsia="Calibri" w:hAnsi="Times New Roman" w:cs="Times New Roman"/>
          <w:sz w:val="24"/>
          <w:szCs w:val="24"/>
        </w:rPr>
        <w:t xml:space="preserve">sti se kontrolna lista </w:t>
      </w:r>
      <w:r w:rsidR="00583CD1">
        <w:rPr>
          <w:rFonts w:ascii="Times New Roman" w:eastAsia="Calibri" w:hAnsi="Times New Roman" w:cs="Times New Roman"/>
          <w:sz w:val="24"/>
          <w:szCs w:val="24"/>
        </w:rPr>
        <w:t xml:space="preserve">iz </w:t>
      </w:r>
      <w:r w:rsidR="008D0BFC">
        <w:rPr>
          <w:rFonts w:ascii="Times New Roman" w:eastAsia="Calibri" w:hAnsi="Times New Roman" w:cs="Times New Roman"/>
          <w:sz w:val="24"/>
          <w:szCs w:val="24"/>
        </w:rPr>
        <w:t>Prilog</w:t>
      </w:r>
      <w:r w:rsidR="00583CD1">
        <w:rPr>
          <w:rFonts w:ascii="Times New Roman" w:eastAsia="Calibri" w:hAnsi="Times New Roman" w:cs="Times New Roman"/>
          <w:sz w:val="24"/>
          <w:szCs w:val="24"/>
        </w:rPr>
        <w:t>a</w:t>
      </w:r>
      <w:r w:rsidR="008D0BFC">
        <w:rPr>
          <w:rFonts w:ascii="Times New Roman" w:eastAsia="Calibri" w:hAnsi="Times New Roman" w:cs="Times New Roman"/>
          <w:sz w:val="24"/>
          <w:szCs w:val="24"/>
        </w:rPr>
        <w:t xml:space="preserve"> 21</w:t>
      </w:r>
      <w:r>
        <w:rPr>
          <w:rFonts w:ascii="Times New Roman" w:eastAsia="Calibri" w:hAnsi="Times New Roman" w:cs="Times New Roman"/>
          <w:sz w:val="24"/>
          <w:szCs w:val="24"/>
        </w:rPr>
        <w:t xml:space="preserve"> ovog poglavlja.</w:t>
      </w:r>
    </w:p>
    <w:p w14:paraId="1B81B03D" w14:textId="3A183642" w:rsidR="00C9462B" w:rsidRDefault="003543A3" w:rsidP="00EA21AE">
      <w:pPr>
        <w:jc w:val="both"/>
        <w:rPr>
          <w:rFonts w:ascii="Times New Roman" w:eastAsia="Calibri" w:hAnsi="Times New Roman" w:cs="Times New Roman"/>
          <w:sz w:val="24"/>
          <w:szCs w:val="24"/>
        </w:rPr>
      </w:pPr>
      <w:r w:rsidRPr="00D61F56">
        <w:rPr>
          <w:rFonts w:ascii="Times New Roman" w:eastAsia="Calibri" w:hAnsi="Times New Roman" w:cs="Times New Roman"/>
          <w:sz w:val="24"/>
          <w:szCs w:val="24"/>
        </w:rPr>
        <w:t>Primjena strožeg kriterija (kako je navedeno za kriterije grupa nabava i udjela nabave u projektu) ovisi o ocjeni PT2 u odnos</w:t>
      </w:r>
      <w:r w:rsidR="005224E2">
        <w:rPr>
          <w:rFonts w:ascii="Times New Roman" w:eastAsia="Calibri" w:hAnsi="Times New Roman" w:cs="Times New Roman"/>
          <w:sz w:val="24"/>
          <w:szCs w:val="24"/>
        </w:rPr>
        <w:t>u</w:t>
      </w:r>
      <w:r w:rsidRPr="00D61F56">
        <w:rPr>
          <w:rFonts w:ascii="Times New Roman" w:eastAsia="Calibri" w:hAnsi="Times New Roman" w:cs="Times New Roman"/>
          <w:sz w:val="24"/>
          <w:szCs w:val="24"/>
        </w:rPr>
        <w:t xml:space="preserve"> na portf</w:t>
      </w:r>
      <w:r w:rsidR="00C20E0B">
        <w:rPr>
          <w:rFonts w:ascii="Times New Roman" w:eastAsia="Calibri" w:hAnsi="Times New Roman" w:cs="Times New Roman"/>
          <w:sz w:val="24"/>
          <w:szCs w:val="24"/>
        </w:rPr>
        <w:t>elj</w:t>
      </w:r>
      <w:r w:rsidRPr="00D61F56">
        <w:rPr>
          <w:rFonts w:ascii="Times New Roman" w:eastAsia="Calibri" w:hAnsi="Times New Roman" w:cs="Times New Roman"/>
          <w:sz w:val="24"/>
          <w:szCs w:val="24"/>
        </w:rPr>
        <w:t xml:space="preserve"> nabava u Planu nabave koji se pregledava. Može se koristiti kako bi se</w:t>
      </w:r>
      <w:r w:rsidR="00C9462B">
        <w:rPr>
          <w:rFonts w:ascii="Times New Roman" w:eastAsia="Calibri" w:hAnsi="Times New Roman" w:cs="Times New Roman"/>
          <w:sz w:val="24"/>
          <w:szCs w:val="24"/>
        </w:rPr>
        <w:t xml:space="preserve"> potencijalno dobio veći uzorak.</w:t>
      </w:r>
    </w:p>
    <w:p w14:paraId="0308D245" w14:textId="77777777" w:rsidR="00BF5B17" w:rsidRPr="00A514D1" w:rsidRDefault="00BF5B17" w:rsidP="00EA21AE">
      <w:pPr>
        <w:jc w:val="both"/>
        <w:rPr>
          <w:rFonts w:ascii="Times New Roman" w:eastAsia="Calibri" w:hAnsi="Times New Roman" w:cs="Times New Roman"/>
          <w:sz w:val="24"/>
          <w:szCs w:val="24"/>
        </w:rPr>
      </w:pPr>
    </w:p>
    <w:p w14:paraId="6652A606" w14:textId="6C5747F1" w:rsidR="00AD27F1" w:rsidRPr="00C9462B" w:rsidRDefault="00B70A5F" w:rsidP="00C9462B">
      <w:pPr>
        <w:pStyle w:val="ListParagraph"/>
        <w:numPr>
          <w:ilvl w:val="2"/>
          <w:numId w:val="1"/>
        </w:numPr>
        <w:jc w:val="both"/>
        <w:rPr>
          <w:rFonts w:ascii="Times New Roman" w:eastAsia="Calibri" w:hAnsi="Times New Roman" w:cs="Times New Roman"/>
          <w:b/>
          <w:i/>
          <w:sz w:val="24"/>
          <w:szCs w:val="24"/>
        </w:rPr>
      </w:pPr>
      <w:r w:rsidRPr="00C9462B">
        <w:rPr>
          <w:rFonts w:ascii="Times New Roman" w:eastAsia="Calibri" w:hAnsi="Times New Roman" w:cs="Times New Roman"/>
          <w:b/>
          <w:i/>
          <w:sz w:val="24"/>
          <w:szCs w:val="24"/>
        </w:rPr>
        <w:t>O</w:t>
      </w:r>
      <w:r w:rsidR="00AD27F1" w:rsidRPr="00C9462B">
        <w:rPr>
          <w:rFonts w:ascii="Times New Roman" w:eastAsia="Calibri" w:hAnsi="Times New Roman" w:cs="Times New Roman"/>
          <w:b/>
          <w:i/>
          <w:sz w:val="24"/>
          <w:szCs w:val="24"/>
        </w:rPr>
        <w:t xml:space="preserve">bveznici Zakona o javnoj nabavi </w:t>
      </w:r>
    </w:p>
    <w:p w14:paraId="0BB83150" w14:textId="77777777" w:rsidR="00AD27F1" w:rsidRPr="001A4A23" w:rsidRDefault="00AD27F1" w:rsidP="00AD27F1">
      <w:pPr>
        <w:jc w:val="both"/>
        <w:rPr>
          <w:rFonts w:ascii="Times New Roman" w:eastAsia="Calibri" w:hAnsi="Times New Roman" w:cs="Times New Roman"/>
          <w:sz w:val="24"/>
          <w:szCs w:val="24"/>
        </w:rPr>
      </w:pPr>
      <w:r w:rsidRPr="001A4A23">
        <w:rPr>
          <w:rFonts w:ascii="Times New Roman" w:eastAsia="Calibri" w:hAnsi="Times New Roman" w:cs="Times New Roman"/>
          <w:sz w:val="24"/>
          <w:szCs w:val="24"/>
        </w:rPr>
        <w:t>Faktori i bodovi koji će se uzeti u obzir za analizu su:</w:t>
      </w:r>
    </w:p>
    <w:p w14:paraId="34488A94" w14:textId="2390C753" w:rsidR="00AD27F1" w:rsidRPr="001A4A23" w:rsidRDefault="00AD27F1" w:rsidP="00AD27F1">
      <w:pPr>
        <w:jc w:val="both"/>
        <w:rPr>
          <w:rFonts w:ascii="Times New Roman" w:eastAsia="Calibri" w:hAnsi="Times New Roman" w:cs="Times New Roman"/>
          <w:sz w:val="24"/>
          <w:szCs w:val="24"/>
        </w:rPr>
      </w:pPr>
      <w:r w:rsidRPr="001A4A23">
        <w:rPr>
          <w:rFonts w:ascii="Times New Roman" w:eastAsia="Calibri" w:hAnsi="Times New Roman" w:cs="Times New Roman"/>
          <w:sz w:val="24"/>
          <w:szCs w:val="24"/>
        </w:rPr>
        <w:lastRenderedPageBreak/>
        <w:t xml:space="preserve">- u odnosu na grupe nabave: ako je riječ o tri ili više grupa nabave. </w:t>
      </w:r>
      <w:r w:rsidR="00C9462B">
        <w:rPr>
          <w:rFonts w:ascii="Times New Roman" w:eastAsia="Calibri" w:hAnsi="Times New Roman" w:cs="Times New Roman"/>
          <w:sz w:val="24"/>
          <w:szCs w:val="24"/>
        </w:rPr>
        <w:t>A</w:t>
      </w:r>
      <w:r w:rsidR="00C9462B" w:rsidRPr="00C9462B">
        <w:rPr>
          <w:rFonts w:ascii="Times New Roman" w:eastAsia="Calibri" w:hAnsi="Times New Roman" w:cs="Times New Roman"/>
          <w:sz w:val="24"/>
          <w:szCs w:val="24"/>
        </w:rPr>
        <w:t xml:space="preserve">ko PT2 ocijeni kako je to potrebno, može primijeniti i stroži kriterij </w:t>
      </w:r>
      <w:r w:rsidRPr="001A4A23">
        <w:rPr>
          <w:rFonts w:ascii="Times New Roman" w:eastAsia="Calibri" w:hAnsi="Times New Roman" w:cs="Times New Roman"/>
          <w:sz w:val="24"/>
          <w:szCs w:val="24"/>
        </w:rPr>
        <w:t>(dodjelu 2 boda ukoliko nabava ima dvije ili više grupa nabave): ne -  dodjeljuje se 0 bodova / da – dodjeljuju se 2 boda</w:t>
      </w:r>
    </w:p>
    <w:p w14:paraId="1929D157" w14:textId="79A66D1C" w:rsidR="00C83B9B" w:rsidRPr="00D61F56" w:rsidRDefault="00C817FB" w:rsidP="00C83B9B">
      <w:pPr>
        <w:jc w:val="both"/>
        <w:rPr>
          <w:rFonts w:ascii="Times New Roman" w:eastAsia="Calibri" w:hAnsi="Times New Roman" w:cs="Times New Roman"/>
          <w:sz w:val="24"/>
          <w:szCs w:val="24"/>
        </w:rPr>
      </w:pPr>
      <w:r>
        <w:rPr>
          <w:rFonts w:ascii="Times New Roman" w:eastAsia="Calibri" w:hAnsi="Times New Roman" w:cs="Times New Roman"/>
          <w:sz w:val="24"/>
          <w:szCs w:val="24"/>
        </w:rPr>
        <w:t>- p</w:t>
      </w:r>
      <w:r w:rsidR="00C83B9B" w:rsidRPr="00D61F56">
        <w:rPr>
          <w:rFonts w:ascii="Times New Roman" w:eastAsia="Calibri" w:hAnsi="Times New Roman" w:cs="Times New Roman"/>
          <w:sz w:val="24"/>
          <w:szCs w:val="24"/>
        </w:rPr>
        <w:t xml:space="preserve">redmet nabave je izvođenje građevinskih radova: ne -  dodjeljuje se 0 bodova / da – dodjeljuju se 2 boda. </w:t>
      </w:r>
    </w:p>
    <w:p w14:paraId="5DF9124D" w14:textId="30B212E3" w:rsidR="00AD27F1" w:rsidRPr="001A4A23" w:rsidRDefault="00C83B9B" w:rsidP="00AD27F1">
      <w:pPr>
        <w:jc w:val="both"/>
        <w:rPr>
          <w:rFonts w:ascii="Times New Roman" w:eastAsia="Calibri" w:hAnsi="Times New Roman" w:cs="Times New Roman"/>
          <w:sz w:val="24"/>
          <w:szCs w:val="24"/>
        </w:rPr>
      </w:pPr>
      <w:r w:rsidRPr="00D61F56">
        <w:rPr>
          <w:rFonts w:ascii="Times New Roman" w:eastAsia="Calibri" w:hAnsi="Times New Roman" w:cs="Times New Roman"/>
          <w:sz w:val="24"/>
          <w:szCs w:val="24"/>
        </w:rPr>
        <w:t xml:space="preserve">- predmet nabave </w:t>
      </w:r>
      <w:r w:rsidR="00AD27F1" w:rsidRPr="001A4A23">
        <w:rPr>
          <w:rFonts w:ascii="Times New Roman" w:eastAsia="Calibri" w:hAnsi="Times New Roman" w:cs="Times New Roman"/>
          <w:sz w:val="24"/>
          <w:szCs w:val="24"/>
        </w:rPr>
        <w:t>uključuje izvođenje radova na dvije ili više lokacija</w:t>
      </w:r>
      <w:r w:rsidR="00AD27F1" w:rsidRPr="001A4A23">
        <w:rPr>
          <w:rStyle w:val="FootnoteReference"/>
          <w:rFonts w:ascii="Times New Roman" w:eastAsia="Calibri" w:hAnsi="Times New Roman" w:cs="Times New Roman"/>
          <w:sz w:val="24"/>
          <w:szCs w:val="24"/>
        </w:rPr>
        <w:footnoteReference w:id="3"/>
      </w:r>
      <w:r w:rsidR="00AD27F1" w:rsidRPr="001A4A23">
        <w:rPr>
          <w:rFonts w:ascii="Times New Roman" w:eastAsia="Calibri" w:hAnsi="Times New Roman" w:cs="Times New Roman"/>
          <w:sz w:val="24"/>
          <w:szCs w:val="24"/>
        </w:rPr>
        <w:t>: ne -  dodjeljuje se 0 bodova / da – dodjeljuju se 2 boda.</w:t>
      </w:r>
    </w:p>
    <w:p w14:paraId="373FF934" w14:textId="7BF24FE6" w:rsidR="00AD27F1" w:rsidRPr="00D61F56" w:rsidRDefault="00AD27F1" w:rsidP="00AD27F1">
      <w:pPr>
        <w:jc w:val="both"/>
        <w:rPr>
          <w:rFonts w:ascii="Times New Roman" w:eastAsia="Calibri" w:hAnsi="Times New Roman" w:cs="Times New Roman"/>
          <w:sz w:val="24"/>
          <w:szCs w:val="24"/>
        </w:rPr>
      </w:pPr>
      <w:r w:rsidRPr="001A4A23">
        <w:rPr>
          <w:rFonts w:ascii="Times New Roman" w:eastAsia="Calibri" w:hAnsi="Times New Roman" w:cs="Times New Roman"/>
          <w:sz w:val="24"/>
          <w:szCs w:val="24"/>
        </w:rPr>
        <w:t xml:space="preserve">- u odnosu na udio nabave u projektu: ako je veći od 33%. </w:t>
      </w:r>
      <w:r w:rsidR="00C9462B">
        <w:rPr>
          <w:rFonts w:ascii="Times New Roman" w:eastAsia="Calibri" w:hAnsi="Times New Roman" w:cs="Times New Roman"/>
          <w:sz w:val="24"/>
          <w:szCs w:val="24"/>
        </w:rPr>
        <w:t>A</w:t>
      </w:r>
      <w:r w:rsidR="00C9462B" w:rsidRPr="00C9462B">
        <w:rPr>
          <w:rFonts w:ascii="Times New Roman" w:eastAsia="Calibri" w:hAnsi="Times New Roman" w:cs="Times New Roman"/>
          <w:sz w:val="24"/>
          <w:szCs w:val="24"/>
        </w:rPr>
        <w:t>ko PT2 ocijeni kako je to potrebno, može primijeniti i stroži kriterij</w:t>
      </w:r>
      <w:r w:rsidRPr="001A4A23">
        <w:rPr>
          <w:rFonts w:ascii="Times New Roman" w:eastAsia="Calibri" w:hAnsi="Times New Roman" w:cs="Times New Roman"/>
          <w:sz w:val="24"/>
          <w:szCs w:val="24"/>
        </w:rPr>
        <w:t xml:space="preserve"> (umanjiti % udio nabave u vrijednosti projekta): ne -  dodjeljuje se 0 bodova / da – dodjeljuju se 2 boda </w:t>
      </w:r>
    </w:p>
    <w:p w14:paraId="0BA48B14" w14:textId="7950539D" w:rsidR="006B24CC" w:rsidRPr="001A4A23" w:rsidRDefault="006B24CC" w:rsidP="00AD27F1">
      <w:pPr>
        <w:jc w:val="both"/>
        <w:rPr>
          <w:rFonts w:ascii="Times New Roman" w:eastAsia="Calibri" w:hAnsi="Times New Roman" w:cs="Times New Roman"/>
          <w:sz w:val="24"/>
          <w:szCs w:val="24"/>
        </w:rPr>
      </w:pPr>
      <w:r w:rsidRPr="001A4A23">
        <w:rPr>
          <w:rFonts w:ascii="Times New Roman" w:eastAsia="Calibri" w:hAnsi="Times New Roman" w:cs="Times New Roman"/>
          <w:sz w:val="24"/>
          <w:szCs w:val="24"/>
        </w:rPr>
        <w:t>u odnosu na vrst</w:t>
      </w:r>
      <w:r w:rsidR="004E3766">
        <w:rPr>
          <w:rFonts w:ascii="Times New Roman" w:eastAsia="Calibri" w:hAnsi="Times New Roman" w:cs="Times New Roman"/>
          <w:sz w:val="24"/>
          <w:szCs w:val="24"/>
        </w:rPr>
        <w:t xml:space="preserve">u nabave: za otvoreni postupak </w:t>
      </w:r>
      <w:r w:rsidRPr="001A4A23">
        <w:rPr>
          <w:rFonts w:ascii="Times New Roman" w:eastAsia="Calibri" w:hAnsi="Times New Roman" w:cs="Times New Roman"/>
          <w:sz w:val="24"/>
          <w:szCs w:val="24"/>
        </w:rPr>
        <w:t>dodjeljuje se 0 bodova, za ostale</w:t>
      </w:r>
      <w:r w:rsidR="00A514D1">
        <w:rPr>
          <w:rStyle w:val="FootnoteReference"/>
          <w:rFonts w:ascii="Times New Roman" w:eastAsia="Calibri" w:hAnsi="Times New Roman" w:cs="Times New Roman"/>
          <w:sz w:val="24"/>
          <w:szCs w:val="24"/>
        </w:rPr>
        <w:footnoteReference w:id="4"/>
      </w:r>
      <w:r w:rsidRPr="001A4A23">
        <w:rPr>
          <w:rFonts w:ascii="Times New Roman" w:eastAsia="Calibri" w:hAnsi="Times New Roman" w:cs="Times New Roman"/>
          <w:sz w:val="24"/>
          <w:szCs w:val="24"/>
        </w:rPr>
        <w:t xml:space="preserve"> postupke </w:t>
      </w:r>
      <w:r w:rsidR="00A514D1">
        <w:rPr>
          <w:rFonts w:ascii="Times New Roman" w:eastAsia="Calibri" w:hAnsi="Times New Roman" w:cs="Times New Roman"/>
          <w:sz w:val="24"/>
          <w:szCs w:val="24"/>
        </w:rPr>
        <w:t xml:space="preserve">sukladno ZJN </w:t>
      </w:r>
      <w:r w:rsidRPr="001A4A23">
        <w:rPr>
          <w:rFonts w:ascii="Times New Roman" w:eastAsia="Calibri" w:hAnsi="Times New Roman" w:cs="Times New Roman"/>
          <w:sz w:val="24"/>
          <w:szCs w:val="24"/>
        </w:rPr>
        <w:t>dodjeljuju se 2 boda</w:t>
      </w:r>
      <w:r w:rsidR="00A514D1">
        <w:rPr>
          <w:rFonts w:ascii="Times New Roman" w:eastAsia="Calibri" w:hAnsi="Times New Roman" w:cs="Times New Roman"/>
          <w:sz w:val="24"/>
          <w:szCs w:val="24"/>
        </w:rPr>
        <w:t xml:space="preserve"> </w:t>
      </w:r>
    </w:p>
    <w:p w14:paraId="13F6FF7C" w14:textId="77C958E5" w:rsidR="00AD27F1" w:rsidRDefault="00AD27F1" w:rsidP="00AD27F1">
      <w:pPr>
        <w:jc w:val="both"/>
        <w:rPr>
          <w:rFonts w:ascii="Times New Roman" w:eastAsia="Calibri" w:hAnsi="Times New Roman" w:cs="Times New Roman"/>
          <w:sz w:val="24"/>
          <w:szCs w:val="24"/>
        </w:rPr>
      </w:pPr>
      <w:r w:rsidRPr="001A4A23">
        <w:rPr>
          <w:rFonts w:ascii="Times New Roman" w:eastAsia="Calibri" w:hAnsi="Times New Roman" w:cs="Times New Roman"/>
          <w:sz w:val="24"/>
          <w:szCs w:val="24"/>
        </w:rPr>
        <w:t>- financijske korekcije koje su korisniku određene u vezi provođenja postupka nabave u zadnje dvije godine</w:t>
      </w:r>
      <w:r w:rsidR="00A514D1">
        <w:rPr>
          <w:rStyle w:val="FootnoteReference"/>
          <w:rFonts w:ascii="Times New Roman" w:eastAsia="Calibri" w:hAnsi="Times New Roman" w:cs="Times New Roman"/>
          <w:sz w:val="24"/>
          <w:szCs w:val="24"/>
        </w:rPr>
        <w:footnoteReference w:id="5"/>
      </w:r>
      <w:r w:rsidRPr="001A4A23">
        <w:rPr>
          <w:rFonts w:ascii="Times New Roman" w:eastAsia="Calibri" w:hAnsi="Times New Roman" w:cs="Times New Roman"/>
          <w:sz w:val="24"/>
          <w:szCs w:val="24"/>
        </w:rPr>
        <w:t xml:space="preserve">, a koje PT2 može potvrditi u </w:t>
      </w:r>
      <w:r w:rsidR="00BA7CFC">
        <w:rPr>
          <w:rFonts w:ascii="Times New Roman" w:eastAsia="Calibri" w:hAnsi="Times New Roman" w:cs="Times New Roman"/>
          <w:sz w:val="24"/>
          <w:szCs w:val="24"/>
        </w:rPr>
        <w:t>okviru</w:t>
      </w:r>
      <w:r w:rsidRPr="001A4A23">
        <w:rPr>
          <w:rFonts w:ascii="Times New Roman" w:eastAsia="Calibri" w:hAnsi="Times New Roman" w:cs="Times New Roman"/>
          <w:sz w:val="24"/>
          <w:szCs w:val="24"/>
        </w:rPr>
        <w:t xml:space="preserve"> svog registra nepravilnosti:  ne -  dodjeljuje se 0 bodova / da – dodjeljuju se 2 boda.</w:t>
      </w:r>
    </w:p>
    <w:p w14:paraId="0AB35FC1" w14:textId="2A8B0CAD" w:rsidR="001A4A23" w:rsidRPr="00EA21AE" w:rsidRDefault="001A4A23" w:rsidP="001A4A23">
      <w:pPr>
        <w:jc w:val="both"/>
        <w:rPr>
          <w:rFonts w:ascii="Times New Roman" w:eastAsia="Calibri" w:hAnsi="Times New Roman" w:cs="Times New Roman"/>
          <w:sz w:val="24"/>
          <w:szCs w:val="24"/>
        </w:rPr>
      </w:pPr>
      <w:r>
        <w:rPr>
          <w:rFonts w:ascii="Times New Roman" w:eastAsia="Calibri" w:hAnsi="Times New Roman" w:cs="Times New Roman"/>
          <w:sz w:val="24"/>
          <w:szCs w:val="24"/>
        </w:rPr>
        <w:t>Prilikom analize rizika kori</w:t>
      </w:r>
      <w:r w:rsidR="008D0BFC">
        <w:rPr>
          <w:rFonts w:ascii="Times New Roman" w:eastAsia="Calibri" w:hAnsi="Times New Roman" w:cs="Times New Roman"/>
          <w:sz w:val="24"/>
          <w:szCs w:val="24"/>
        </w:rPr>
        <w:t xml:space="preserve">sti se kontrolna lista </w:t>
      </w:r>
      <w:r w:rsidR="005307E7">
        <w:rPr>
          <w:rFonts w:ascii="Times New Roman" w:eastAsia="Calibri" w:hAnsi="Times New Roman" w:cs="Times New Roman"/>
          <w:sz w:val="24"/>
          <w:szCs w:val="24"/>
        </w:rPr>
        <w:t xml:space="preserve">iz </w:t>
      </w:r>
      <w:r w:rsidR="008D0BFC">
        <w:rPr>
          <w:rFonts w:ascii="Times New Roman" w:eastAsia="Calibri" w:hAnsi="Times New Roman" w:cs="Times New Roman"/>
          <w:sz w:val="24"/>
          <w:szCs w:val="24"/>
        </w:rPr>
        <w:t>Prilog</w:t>
      </w:r>
      <w:r w:rsidR="005307E7">
        <w:rPr>
          <w:rFonts w:ascii="Times New Roman" w:eastAsia="Calibri" w:hAnsi="Times New Roman" w:cs="Times New Roman"/>
          <w:sz w:val="24"/>
          <w:szCs w:val="24"/>
        </w:rPr>
        <w:t>a</w:t>
      </w:r>
      <w:r w:rsidR="008D0BFC">
        <w:rPr>
          <w:rFonts w:ascii="Times New Roman" w:eastAsia="Calibri" w:hAnsi="Times New Roman" w:cs="Times New Roman"/>
          <w:sz w:val="24"/>
          <w:szCs w:val="24"/>
        </w:rPr>
        <w:t xml:space="preserve"> 20</w:t>
      </w:r>
      <w:r>
        <w:rPr>
          <w:rFonts w:ascii="Times New Roman" w:eastAsia="Calibri" w:hAnsi="Times New Roman" w:cs="Times New Roman"/>
          <w:sz w:val="24"/>
          <w:szCs w:val="24"/>
        </w:rPr>
        <w:t xml:space="preserve"> ovog poglavlja.</w:t>
      </w:r>
    </w:p>
    <w:p w14:paraId="0B1A4AC7" w14:textId="544690F3" w:rsidR="001A4A23" w:rsidRDefault="00A514D1" w:rsidP="00AD27F1">
      <w:pPr>
        <w:jc w:val="both"/>
        <w:rPr>
          <w:rFonts w:ascii="Times New Roman" w:eastAsia="Calibri" w:hAnsi="Times New Roman" w:cs="Times New Roman"/>
          <w:sz w:val="24"/>
          <w:szCs w:val="24"/>
        </w:rPr>
      </w:pPr>
      <w:r w:rsidRPr="002F0218">
        <w:rPr>
          <w:rFonts w:ascii="Times New Roman" w:eastAsia="Calibri" w:hAnsi="Times New Roman" w:cs="Times New Roman"/>
          <w:sz w:val="24"/>
          <w:szCs w:val="24"/>
        </w:rPr>
        <w:t>Primjena strožeg kriterija (kako je navedeno za kriterije grupa nabava i udjela nabave u projektu) ovisi o ocjeni PT2 u odnos</w:t>
      </w:r>
      <w:r w:rsidR="005224E2">
        <w:rPr>
          <w:rFonts w:ascii="Times New Roman" w:eastAsia="Calibri" w:hAnsi="Times New Roman" w:cs="Times New Roman"/>
          <w:sz w:val="24"/>
          <w:szCs w:val="24"/>
        </w:rPr>
        <w:t xml:space="preserve">u </w:t>
      </w:r>
      <w:r w:rsidRPr="002F0218">
        <w:rPr>
          <w:rFonts w:ascii="Times New Roman" w:eastAsia="Calibri" w:hAnsi="Times New Roman" w:cs="Times New Roman"/>
          <w:sz w:val="24"/>
          <w:szCs w:val="24"/>
        </w:rPr>
        <w:t>na portf</w:t>
      </w:r>
      <w:r w:rsidR="00C20E0B">
        <w:rPr>
          <w:rFonts w:ascii="Times New Roman" w:eastAsia="Calibri" w:hAnsi="Times New Roman" w:cs="Times New Roman"/>
          <w:sz w:val="24"/>
          <w:szCs w:val="24"/>
        </w:rPr>
        <w:t xml:space="preserve">elj </w:t>
      </w:r>
      <w:r w:rsidRPr="002F0218">
        <w:rPr>
          <w:rFonts w:ascii="Times New Roman" w:eastAsia="Calibri" w:hAnsi="Times New Roman" w:cs="Times New Roman"/>
          <w:sz w:val="24"/>
          <w:szCs w:val="24"/>
        </w:rPr>
        <w:t>nabava u Planu nabave koji se pregledava. Može se koristiti kako bi se potencijalno dobio veći uzorak.</w:t>
      </w:r>
    </w:p>
    <w:p w14:paraId="219B27DC" w14:textId="77777777" w:rsidR="00A514D1" w:rsidRPr="00D61F56" w:rsidRDefault="00A514D1" w:rsidP="00AD27F1">
      <w:pPr>
        <w:jc w:val="both"/>
        <w:rPr>
          <w:rFonts w:ascii="Times New Roman" w:eastAsia="Calibri" w:hAnsi="Times New Roman" w:cs="Times New Roman"/>
          <w:sz w:val="24"/>
          <w:szCs w:val="24"/>
        </w:rPr>
      </w:pPr>
    </w:p>
    <w:p w14:paraId="6E3FA593" w14:textId="44E18FBC" w:rsidR="006B24CC" w:rsidRPr="00D61F56" w:rsidRDefault="006B24CC" w:rsidP="00F55397">
      <w:pPr>
        <w:pStyle w:val="ListParagraph"/>
        <w:numPr>
          <w:ilvl w:val="1"/>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Bodovni prag rizika</w:t>
      </w:r>
    </w:p>
    <w:p w14:paraId="2409EA0B" w14:textId="0F11BAF0" w:rsidR="001F2508" w:rsidRPr="001A4A23" w:rsidRDefault="001F2508" w:rsidP="001F2508">
      <w:pPr>
        <w:jc w:val="both"/>
        <w:rPr>
          <w:rFonts w:ascii="Times New Roman" w:eastAsia="Calibri" w:hAnsi="Times New Roman" w:cs="Times New Roman"/>
          <w:sz w:val="24"/>
          <w:szCs w:val="24"/>
        </w:rPr>
      </w:pPr>
      <w:r w:rsidRPr="001A4A23">
        <w:rPr>
          <w:rFonts w:ascii="Times New Roman" w:eastAsia="Calibri" w:hAnsi="Times New Roman" w:cs="Times New Roman"/>
          <w:sz w:val="24"/>
          <w:szCs w:val="24"/>
        </w:rPr>
        <w:t xml:space="preserve">a) Sve nabave procijenjene vrijednosti </w:t>
      </w:r>
      <w:r w:rsidRPr="00D61F56">
        <w:rPr>
          <w:rFonts w:ascii="Times New Roman" w:eastAsia="Calibri" w:hAnsi="Times New Roman" w:cs="Times New Roman"/>
          <w:b/>
          <w:sz w:val="24"/>
          <w:szCs w:val="24"/>
        </w:rPr>
        <w:t>ispod 1 milijun kuna za robe i usluge te 5 milijuna kuna za radove</w:t>
      </w:r>
      <w:r w:rsidRPr="001A4A23">
        <w:rPr>
          <w:rFonts w:ascii="Times New Roman" w:eastAsia="Calibri" w:hAnsi="Times New Roman" w:cs="Times New Roman"/>
          <w:sz w:val="24"/>
          <w:szCs w:val="24"/>
        </w:rPr>
        <w:t xml:space="preserve"> koje dosegnu po navedenoj metodologiji </w:t>
      </w:r>
      <w:r w:rsidRPr="00D61F56">
        <w:rPr>
          <w:rFonts w:ascii="Times New Roman" w:eastAsia="Calibri" w:hAnsi="Times New Roman" w:cs="Times New Roman"/>
          <w:b/>
          <w:sz w:val="24"/>
          <w:szCs w:val="24"/>
        </w:rPr>
        <w:t>8 ili više bodova</w:t>
      </w:r>
      <w:r w:rsidRPr="001A4A23">
        <w:rPr>
          <w:rFonts w:ascii="Times New Roman" w:eastAsia="Calibri" w:hAnsi="Times New Roman" w:cs="Times New Roman"/>
          <w:sz w:val="24"/>
          <w:szCs w:val="24"/>
        </w:rPr>
        <w:t xml:space="preserve">, bit će provjerene ex-ante. </w:t>
      </w:r>
    </w:p>
    <w:p w14:paraId="5D2A7E25" w14:textId="68F8062F" w:rsidR="00F55397" w:rsidRDefault="001F2508" w:rsidP="001F2508">
      <w:pPr>
        <w:jc w:val="both"/>
        <w:rPr>
          <w:rFonts w:ascii="Times New Roman" w:eastAsia="Calibri" w:hAnsi="Times New Roman" w:cs="Times New Roman"/>
          <w:sz w:val="24"/>
          <w:szCs w:val="24"/>
        </w:rPr>
      </w:pPr>
      <w:r w:rsidRPr="001A4A23">
        <w:rPr>
          <w:rFonts w:ascii="Times New Roman" w:eastAsia="Calibri" w:hAnsi="Times New Roman" w:cs="Times New Roman"/>
          <w:sz w:val="24"/>
          <w:szCs w:val="24"/>
        </w:rPr>
        <w:t xml:space="preserve">b) Sve nabave procijenjene vrijednosti </w:t>
      </w:r>
      <w:r w:rsidRPr="001A4A23">
        <w:rPr>
          <w:rFonts w:ascii="Times New Roman" w:eastAsia="Calibri" w:hAnsi="Times New Roman" w:cs="Times New Roman"/>
          <w:b/>
          <w:sz w:val="24"/>
          <w:szCs w:val="24"/>
        </w:rPr>
        <w:t>1 milijun kuna i više za robe i usluge te 5 milijuna kuna i više za radove</w:t>
      </w:r>
      <w:r w:rsidRPr="001A4A23">
        <w:rPr>
          <w:rFonts w:ascii="Times New Roman" w:eastAsia="Calibri" w:hAnsi="Times New Roman" w:cs="Times New Roman"/>
          <w:sz w:val="24"/>
          <w:szCs w:val="24"/>
        </w:rPr>
        <w:t xml:space="preserve"> koje dosegnu po navedenoj metodologiji </w:t>
      </w:r>
      <w:r w:rsidRPr="00D61F56">
        <w:rPr>
          <w:rFonts w:ascii="Times New Roman" w:eastAsia="Calibri" w:hAnsi="Times New Roman" w:cs="Times New Roman"/>
          <w:b/>
          <w:sz w:val="24"/>
          <w:szCs w:val="24"/>
        </w:rPr>
        <w:t>6</w:t>
      </w:r>
      <w:r w:rsidRPr="001A4A23">
        <w:rPr>
          <w:rFonts w:ascii="Times New Roman" w:eastAsia="Calibri" w:hAnsi="Times New Roman" w:cs="Times New Roman"/>
          <w:b/>
          <w:sz w:val="24"/>
          <w:szCs w:val="24"/>
        </w:rPr>
        <w:t xml:space="preserve"> ili više bodova</w:t>
      </w:r>
      <w:r w:rsidRPr="001A4A23">
        <w:rPr>
          <w:rFonts w:ascii="Times New Roman" w:eastAsia="Calibri" w:hAnsi="Times New Roman" w:cs="Times New Roman"/>
          <w:sz w:val="24"/>
          <w:szCs w:val="24"/>
        </w:rPr>
        <w:t>, bit će provjerene ex-ante.</w:t>
      </w:r>
    </w:p>
    <w:p w14:paraId="0EDCC20C" w14:textId="1C53FD56" w:rsidR="008D57CB" w:rsidRPr="00F55397" w:rsidRDefault="00F55397" w:rsidP="00F55397">
      <w:pPr>
        <w:ind w:firstLine="708"/>
        <w:jc w:val="both"/>
        <w:rPr>
          <w:rFonts w:ascii="Times New Roman" w:eastAsia="Calibri" w:hAnsi="Times New Roman" w:cs="Times New Roman"/>
          <w:b/>
          <w:i/>
          <w:sz w:val="24"/>
          <w:szCs w:val="24"/>
        </w:rPr>
      </w:pPr>
      <w:r w:rsidRPr="00F55397">
        <w:rPr>
          <w:rFonts w:ascii="Times New Roman" w:eastAsia="Calibri" w:hAnsi="Times New Roman" w:cs="Times New Roman"/>
          <w:b/>
          <w:i/>
          <w:sz w:val="24"/>
          <w:szCs w:val="24"/>
        </w:rPr>
        <w:t xml:space="preserve">2.2.1. </w:t>
      </w:r>
      <w:r w:rsidR="008D57CB" w:rsidRPr="00F55397">
        <w:rPr>
          <w:rFonts w:ascii="Times New Roman" w:eastAsia="Calibri" w:hAnsi="Times New Roman" w:cs="Times New Roman"/>
          <w:b/>
          <w:i/>
          <w:sz w:val="24"/>
          <w:szCs w:val="24"/>
        </w:rPr>
        <w:t>Definiranje bodovnih pragova za NOJN u slučaju mješovitih ugovora</w:t>
      </w:r>
    </w:p>
    <w:p w14:paraId="26FDD068" w14:textId="77777777" w:rsidR="008D57CB" w:rsidRDefault="00522FE0" w:rsidP="00522FE0">
      <w:pPr>
        <w:jc w:val="both"/>
        <w:rPr>
          <w:rFonts w:ascii="Times New Roman" w:eastAsia="Calibri" w:hAnsi="Times New Roman" w:cs="Times New Roman"/>
          <w:sz w:val="24"/>
          <w:szCs w:val="24"/>
        </w:rPr>
      </w:pPr>
      <w:r w:rsidRPr="008D57CB">
        <w:rPr>
          <w:rFonts w:ascii="Times New Roman" w:eastAsia="Calibri" w:hAnsi="Times New Roman" w:cs="Times New Roman"/>
          <w:sz w:val="24"/>
          <w:szCs w:val="24"/>
        </w:rPr>
        <w:t>Mješoviti ugovori su oni čiji su predmet dvije ili više vrsta nabave (radovi, usluge ili roba)</w:t>
      </w:r>
      <w:r w:rsidR="008D57CB">
        <w:rPr>
          <w:rFonts w:ascii="Times New Roman" w:eastAsia="Calibri" w:hAnsi="Times New Roman" w:cs="Times New Roman"/>
          <w:sz w:val="24"/>
          <w:szCs w:val="24"/>
        </w:rPr>
        <w:t>.</w:t>
      </w:r>
    </w:p>
    <w:p w14:paraId="40EFDD45" w14:textId="0731FD3B" w:rsidR="00522FE0" w:rsidRPr="008D57CB" w:rsidRDefault="008D57CB" w:rsidP="00522FE0">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Kako bi se mogao odrediti predmet nabave za potrebe analize rizika, primijenit će se sljedeća metodologija:</w:t>
      </w:r>
    </w:p>
    <w:p w14:paraId="4FA1CC48" w14:textId="77777777" w:rsidR="008D57CB" w:rsidRDefault="00522FE0" w:rsidP="00D61F56">
      <w:pPr>
        <w:pStyle w:val="ListParagraph"/>
        <w:numPr>
          <w:ilvl w:val="0"/>
          <w:numId w:val="15"/>
        </w:numPr>
        <w:jc w:val="both"/>
        <w:rPr>
          <w:rFonts w:ascii="Times New Roman" w:eastAsia="Calibri" w:hAnsi="Times New Roman" w:cs="Times New Roman"/>
          <w:sz w:val="24"/>
          <w:szCs w:val="24"/>
        </w:rPr>
      </w:pPr>
      <w:r w:rsidRPr="008D57CB">
        <w:rPr>
          <w:rFonts w:ascii="Times New Roman" w:eastAsia="Calibri" w:hAnsi="Times New Roman" w:cs="Times New Roman"/>
          <w:sz w:val="24"/>
          <w:szCs w:val="24"/>
        </w:rPr>
        <w:t>Ukoliko se radi o kombinaciji robe i/ili usluga s radovima</w:t>
      </w:r>
      <w:r w:rsidR="008D57CB">
        <w:rPr>
          <w:rFonts w:ascii="Times New Roman" w:eastAsia="Calibri" w:hAnsi="Times New Roman" w:cs="Times New Roman"/>
          <w:sz w:val="24"/>
          <w:szCs w:val="24"/>
        </w:rPr>
        <w:t>:</w:t>
      </w:r>
    </w:p>
    <w:p w14:paraId="632A2C82" w14:textId="77777777" w:rsidR="008D57CB" w:rsidRDefault="00522FE0" w:rsidP="00D61F56">
      <w:pPr>
        <w:pStyle w:val="ListParagraph"/>
        <w:numPr>
          <w:ilvl w:val="1"/>
          <w:numId w:val="15"/>
        </w:numPr>
        <w:jc w:val="both"/>
        <w:rPr>
          <w:rFonts w:ascii="Times New Roman" w:eastAsia="Calibri" w:hAnsi="Times New Roman" w:cs="Times New Roman"/>
          <w:sz w:val="24"/>
          <w:szCs w:val="24"/>
        </w:rPr>
      </w:pPr>
      <w:r w:rsidRPr="008D57CB">
        <w:rPr>
          <w:rFonts w:ascii="Times New Roman" w:eastAsia="Calibri" w:hAnsi="Times New Roman" w:cs="Times New Roman"/>
          <w:sz w:val="24"/>
          <w:szCs w:val="24"/>
        </w:rPr>
        <w:t xml:space="preserve">glavni predmet nabave su radovi ukoliko je njihova vrijednost u procijenjenoj vrijednosti nabave (bez PDV-a) veća od 30% vrijednost nabave. </w:t>
      </w:r>
    </w:p>
    <w:p w14:paraId="596A68C1" w14:textId="63FA7421" w:rsidR="00522FE0" w:rsidRDefault="00522FE0" w:rsidP="00D61F56">
      <w:pPr>
        <w:pStyle w:val="ListParagraph"/>
        <w:numPr>
          <w:ilvl w:val="1"/>
          <w:numId w:val="15"/>
        </w:numPr>
        <w:jc w:val="both"/>
        <w:rPr>
          <w:rFonts w:ascii="Times New Roman" w:eastAsia="Calibri" w:hAnsi="Times New Roman" w:cs="Times New Roman"/>
          <w:sz w:val="24"/>
          <w:szCs w:val="24"/>
        </w:rPr>
      </w:pPr>
      <w:r w:rsidRPr="008D57CB">
        <w:rPr>
          <w:rFonts w:ascii="Times New Roman" w:eastAsia="Calibri" w:hAnsi="Times New Roman" w:cs="Times New Roman"/>
          <w:sz w:val="24"/>
          <w:szCs w:val="24"/>
        </w:rPr>
        <w:t>Ukoliko se na radove odnosi manje od 30% vrijednosti, glavni predmet nabave su usluge ili roba, ovisi o tome koje ima veću vrijednost.</w:t>
      </w:r>
    </w:p>
    <w:p w14:paraId="4CC08569" w14:textId="77777777" w:rsidR="008D57CB" w:rsidRPr="008D57CB" w:rsidRDefault="008D57CB" w:rsidP="00D61F56">
      <w:pPr>
        <w:pStyle w:val="ListParagraph"/>
        <w:ind w:left="1440"/>
        <w:jc w:val="both"/>
        <w:rPr>
          <w:rFonts w:ascii="Times New Roman" w:eastAsia="Calibri" w:hAnsi="Times New Roman" w:cs="Times New Roman"/>
          <w:sz w:val="24"/>
          <w:szCs w:val="24"/>
        </w:rPr>
      </w:pPr>
    </w:p>
    <w:p w14:paraId="43587FB2" w14:textId="7CE9EB0F" w:rsidR="00F713E9" w:rsidRDefault="00522FE0" w:rsidP="00D61F56">
      <w:pPr>
        <w:pStyle w:val="ListParagraph"/>
        <w:numPr>
          <w:ilvl w:val="0"/>
          <w:numId w:val="15"/>
        </w:numPr>
        <w:jc w:val="both"/>
        <w:rPr>
          <w:rFonts w:ascii="Times New Roman" w:eastAsia="Calibri" w:hAnsi="Times New Roman" w:cs="Times New Roman"/>
          <w:sz w:val="24"/>
          <w:szCs w:val="24"/>
        </w:rPr>
      </w:pPr>
      <w:r w:rsidRPr="008D57CB">
        <w:rPr>
          <w:rFonts w:ascii="Times New Roman" w:eastAsia="Calibri" w:hAnsi="Times New Roman" w:cs="Times New Roman"/>
          <w:sz w:val="24"/>
          <w:szCs w:val="24"/>
        </w:rPr>
        <w:t>U slučaju kad se radi o kombinaciji usluga i robe, glavni predmet nabave je onaj koji ima veću vrijednost u procijenjenoj vrijednosti nabave (bez PDV-a).</w:t>
      </w:r>
    </w:p>
    <w:p w14:paraId="184D68AC" w14:textId="77777777" w:rsidR="00CF049F" w:rsidRPr="00CF049F" w:rsidRDefault="00CF049F" w:rsidP="00CF049F">
      <w:pPr>
        <w:jc w:val="both"/>
        <w:rPr>
          <w:rFonts w:ascii="Times New Roman" w:eastAsia="Calibri" w:hAnsi="Times New Roman" w:cs="Times New Roman"/>
          <w:sz w:val="24"/>
          <w:szCs w:val="24"/>
        </w:rPr>
      </w:pPr>
    </w:p>
    <w:p w14:paraId="1A374DA3" w14:textId="73402C65" w:rsidR="001F2508" w:rsidRPr="00D61F56" w:rsidRDefault="00447447" w:rsidP="00CF049F">
      <w:pPr>
        <w:pStyle w:val="ListParagraph"/>
        <w:numPr>
          <w:ilvl w:val="1"/>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Dodatno uzorkovanje</w:t>
      </w:r>
    </w:p>
    <w:p w14:paraId="4324BCFE" w14:textId="386FC7FB" w:rsidR="00B90746" w:rsidRPr="00B90746" w:rsidRDefault="00635AC3" w:rsidP="00B90746">
      <w:pPr>
        <w:jc w:val="both"/>
        <w:rPr>
          <w:rFonts w:ascii="Times New Roman" w:eastAsia="Calibri" w:hAnsi="Times New Roman" w:cs="Times New Roman"/>
          <w:sz w:val="24"/>
          <w:szCs w:val="24"/>
        </w:rPr>
      </w:pPr>
      <w:r>
        <w:rPr>
          <w:rFonts w:ascii="Times New Roman" w:eastAsia="Calibri" w:hAnsi="Times New Roman" w:cs="Times New Roman"/>
          <w:sz w:val="24"/>
          <w:szCs w:val="24"/>
        </w:rPr>
        <w:t>U</w:t>
      </w:r>
      <w:r w:rsidRPr="00635AC3">
        <w:rPr>
          <w:rFonts w:ascii="Times New Roman" w:eastAsia="Calibri" w:hAnsi="Times New Roman" w:cs="Times New Roman"/>
          <w:sz w:val="24"/>
          <w:szCs w:val="24"/>
        </w:rPr>
        <w:t xml:space="preserve">z nabave </w:t>
      </w:r>
      <w:r>
        <w:rPr>
          <w:rFonts w:ascii="Times New Roman" w:eastAsia="Calibri" w:hAnsi="Times New Roman" w:cs="Times New Roman"/>
          <w:sz w:val="24"/>
          <w:szCs w:val="24"/>
        </w:rPr>
        <w:t>odabrane za provjeru na temelju analize rizika</w:t>
      </w:r>
      <w:r w:rsidR="00CF049F">
        <w:rPr>
          <w:rFonts w:ascii="Times New Roman" w:eastAsia="Calibri" w:hAnsi="Times New Roman" w:cs="Times New Roman"/>
          <w:sz w:val="24"/>
          <w:szCs w:val="24"/>
        </w:rPr>
        <w:t>,</w:t>
      </w:r>
      <w:r w:rsidRPr="00635AC3">
        <w:rPr>
          <w:rFonts w:ascii="Times New Roman" w:eastAsia="Calibri" w:hAnsi="Times New Roman" w:cs="Times New Roman"/>
          <w:sz w:val="24"/>
          <w:szCs w:val="24"/>
        </w:rPr>
        <w:t xml:space="preserve"> </w:t>
      </w:r>
      <w:r w:rsidR="00B90746" w:rsidRPr="00B90746">
        <w:rPr>
          <w:rFonts w:ascii="Times New Roman" w:eastAsia="Calibri" w:hAnsi="Times New Roman" w:cs="Times New Roman"/>
          <w:sz w:val="24"/>
          <w:szCs w:val="24"/>
        </w:rPr>
        <w:t>PT2 dodatno odabire 3% ili najmanje jednu (u slučajevima kada je 3% postupaka manje od jedne) od preostalih nab</w:t>
      </w:r>
      <w:r w:rsidR="0052082F">
        <w:rPr>
          <w:rFonts w:ascii="Times New Roman" w:eastAsia="Calibri" w:hAnsi="Times New Roman" w:cs="Times New Roman"/>
          <w:sz w:val="24"/>
          <w:szCs w:val="24"/>
        </w:rPr>
        <w:t>ava temeljem nasumičnog odabira (nasumični odabir se može i ne mora temeljiti na procijenjenoj vrijednosti nabave).</w:t>
      </w:r>
    </w:p>
    <w:p w14:paraId="16DAA7AC" w14:textId="4FAA4092" w:rsidR="00635AC3" w:rsidRDefault="00635AC3" w:rsidP="00EA5EF0">
      <w:pPr>
        <w:jc w:val="both"/>
        <w:rPr>
          <w:rFonts w:ascii="Times New Roman" w:eastAsia="Calibri" w:hAnsi="Times New Roman" w:cs="Times New Roman"/>
          <w:sz w:val="24"/>
          <w:szCs w:val="24"/>
        </w:rPr>
      </w:pPr>
      <w:r>
        <w:rPr>
          <w:rFonts w:ascii="Times New Roman" w:eastAsia="Calibri" w:hAnsi="Times New Roman" w:cs="Times New Roman"/>
          <w:sz w:val="24"/>
          <w:szCs w:val="24"/>
        </w:rPr>
        <w:t>PT2 mo</w:t>
      </w:r>
      <w:r w:rsidR="00CF049F">
        <w:rPr>
          <w:rFonts w:ascii="Times New Roman" w:eastAsia="Calibri" w:hAnsi="Times New Roman" w:cs="Times New Roman"/>
          <w:sz w:val="24"/>
          <w:szCs w:val="24"/>
        </w:rPr>
        <w:t>že</w:t>
      </w:r>
      <w:r>
        <w:rPr>
          <w:rFonts w:ascii="Times New Roman" w:eastAsia="Calibri" w:hAnsi="Times New Roman" w:cs="Times New Roman"/>
          <w:sz w:val="24"/>
          <w:szCs w:val="24"/>
        </w:rPr>
        <w:t xml:space="preserve"> raspisati dodatne kriterije odabira kako bi </w:t>
      </w:r>
      <w:r w:rsidR="00CF049F">
        <w:rPr>
          <w:rFonts w:ascii="Times New Roman" w:eastAsia="Calibri" w:hAnsi="Times New Roman" w:cs="Times New Roman"/>
          <w:sz w:val="24"/>
          <w:szCs w:val="24"/>
        </w:rPr>
        <w:t xml:space="preserve">se </w:t>
      </w:r>
      <w:r>
        <w:rPr>
          <w:rFonts w:ascii="Times New Roman" w:eastAsia="Calibri" w:hAnsi="Times New Roman" w:cs="Times New Roman"/>
          <w:sz w:val="24"/>
          <w:szCs w:val="24"/>
        </w:rPr>
        <w:t>poveća</w:t>
      </w:r>
      <w:r w:rsidR="00CF049F">
        <w:rPr>
          <w:rFonts w:ascii="Times New Roman" w:eastAsia="Calibri" w:hAnsi="Times New Roman" w:cs="Times New Roman"/>
          <w:sz w:val="24"/>
          <w:szCs w:val="24"/>
        </w:rPr>
        <w:t>o</w:t>
      </w:r>
      <w:r>
        <w:rPr>
          <w:rFonts w:ascii="Times New Roman" w:eastAsia="Calibri" w:hAnsi="Times New Roman" w:cs="Times New Roman"/>
          <w:sz w:val="24"/>
          <w:szCs w:val="24"/>
        </w:rPr>
        <w:t xml:space="preserve"> uzorak za provjeru u odnosu na onaj dobiven </w:t>
      </w:r>
      <w:r w:rsidR="00CF049F">
        <w:rPr>
          <w:rFonts w:ascii="Times New Roman" w:eastAsia="Calibri" w:hAnsi="Times New Roman" w:cs="Times New Roman"/>
          <w:sz w:val="24"/>
          <w:szCs w:val="24"/>
        </w:rPr>
        <w:t>primjenom metodologije iz ovog P</w:t>
      </w:r>
      <w:r>
        <w:rPr>
          <w:rFonts w:ascii="Times New Roman" w:eastAsia="Calibri" w:hAnsi="Times New Roman" w:cs="Times New Roman"/>
          <w:sz w:val="24"/>
          <w:szCs w:val="24"/>
        </w:rPr>
        <w:t>riloga.</w:t>
      </w:r>
    </w:p>
    <w:p w14:paraId="20DDA1CF" w14:textId="77777777" w:rsidR="00CF049F" w:rsidRPr="00D61F56" w:rsidRDefault="00CF049F" w:rsidP="00EA5EF0">
      <w:pPr>
        <w:jc w:val="both"/>
        <w:rPr>
          <w:rFonts w:ascii="Times New Roman" w:eastAsia="Calibri" w:hAnsi="Times New Roman" w:cs="Times New Roman"/>
          <w:sz w:val="24"/>
          <w:szCs w:val="24"/>
        </w:rPr>
      </w:pPr>
    </w:p>
    <w:p w14:paraId="0DB5C041" w14:textId="54F6F339" w:rsidR="00447447" w:rsidRPr="00327198" w:rsidRDefault="00E37789" w:rsidP="00CF049F">
      <w:pPr>
        <w:pStyle w:val="ListParagraph"/>
        <w:numPr>
          <w:ilvl w:val="1"/>
          <w:numId w:val="1"/>
        </w:numPr>
        <w:jc w:val="both"/>
        <w:rPr>
          <w:rFonts w:ascii="Times New Roman" w:eastAsia="Calibri" w:hAnsi="Times New Roman" w:cs="Times New Roman"/>
          <w:b/>
          <w:sz w:val="24"/>
          <w:szCs w:val="24"/>
        </w:rPr>
      </w:pPr>
      <w:r>
        <w:rPr>
          <w:rFonts w:ascii="Times New Roman" w:eastAsia="Calibri" w:hAnsi="Times New Roman" w:cs="Times New Roman"/>
          <w:b/>
          <w:sz w:val="24"/>
          <w:szCs w:val="24"/>
        </w:rPr>
        <w:t>Ponovna analiza rizika</w:t>
      </w:r>
    </w:p>
    <w:p w14:paraId="5824771D" w14:textId="71953C57" w:rsidR="00E37789" w:rsidRDefault="00E37789" w:rsidP="00EA5EF0">
      <w:pPr>
        <w:jc w:val="both"/>
        <w:rPr>
          <w:rFonts w:ascii="Times New Roman" w:eastAsia="Calibri" w:hAnsi="Times New Roman" w:cs="Times New Roman"/>
          <w:sz w:val="24"/>
          <w:szCs w:val="24"/>
        </w:rPr>
      </w:pPr>
      <w:r w:rsidRPr="00E37789">
        <w:rPr>
          <w:rFonts w:ascii="Times New Roman" w:eastAsia="Calibri" w:hAnsi="Times New Roman" w:cs="Times New Roman"/>
          <w:sz w:val="24"/>
          <w:szCs w:val="24"/>
        </w:rPr>
        <w:t xml:space="preserve">Nova analiza rizika se radi kod </w:t>
      </w:r>
      <w:r>
        <w:rPr>
          <w:rFonts w:ascii="Times New Roman" w:eastAsia="Calibri" w:hAnsi="Times New Roman" w:cs="Times New Roman"/>
          <w:sz w:val="24"/>
          <w:szCs w:val="24"/>
        </w:rPr>
        <w:t>izmjena</w:t>
      </w:r>
      <w:r w:rsidRPr="00E37789">
        <w:rPr>
          <w:rFonts w:ascii="Times New Roman" w:eastAsia="Calibri" w:hAnsi="Times New Roman" w:cs="Times New Roman"/>
          <w:sz w:val="24"/>
          <w:szCs w:val="24"/>
        </w:rPr>
        <w:t xml:space="preserve"> plana nabave (kad</w:t>
      </w:r>
      <w:r>
        <w:rPr>
          <w:rFonts w:ascii="Times New Roman" w:eastAsia="Calibri" w:hAnsi="Times New Roman" w:cs="Times New Roman"/>
          <w:sz w:val="24"/>
          <w:szCs w:val="24"/>
        </w:rPr>
        <w:t>a se povećava ili smanjuje broj</w:t>
      </w:r>
      <w:r w:rsidRPr="00E37789">
        <w:rPr>
          <w:rFonts w:ascii="Times New Roman" w:eastAsia="Calibri" w:hAnsi="Times New Roman" w:cs="Times New Roman"/>
          <w:sz w:val="24"/>
          <w:szCs w:val="24"/>
        </w:rPr>
        <w:t xml:space="preserve"> nabava, p</w:t>
      </w:r>
      <w:r>
        <w:rPr>
          <w:rFonts w:ascii="Times New Roman" w:eastAsia="Calibri" w:hAnsi="Times New Roman" w:cs="Times New Roman"/>
          <w:sz w:val="24"/>
          <w:szCs w:val="24"/>
        </w:rPr>
        <w:t>ovećava se ili smanjuje broj</w:t>
      </w:r>
      <w:r w:rsidRPr="00E37789">
        <w:rPr>
          <w:rFonts w:ascii="Times New Roman" w:eastAsia="Calibri" w:hAnsi="Times New Roman" w:cs="Times New Roman"/>
          <w:sz w:val="24"/>
          <w:szCs w:val="24"/>
        </w:rPr>
        <w:t xml:space="preserve"> grupa</w:t>
      </w:r>
      <w:r>
        <w:rPr>
          <w:rFonts w:ascii="Times New Roman" w:eastAsia="Calibri" w:hAnsi="Times New Roman" w:cs="Times New Roman"/>
          <w:sz w:val="24"/>
          <w:szCs w:val="24"/>
        </w:rPr>
        <w:t xml:space="preserve"> nabave, mijenja procijenjena vrijednost</w:t>
      </w:r>
      <w:r w:rsidRPr="00E37789">
        <w:rPr>
          <w:rFonts w:ascii="Times New Roman" w:eastAsia="Calibri" w:hAnsi="Times New Roman" w:cs="Times New Roman"/>
          <w:sz w:val="24"/>
          <w:szCs w:val="24"/>
        </w:rPr>
        <w:t xml:space="preserve"> i sl</w:t>
      </w:r>
      <w:r>
        <w:rPr>
          <w:rFonts w:ascii="Times New Roman" w:eastAsia="Calibri" w:hAnsi="Times New Roman" w:cs="Times New Roman"/>
          <w:sz w:val="24"/>
          <w:szCs w:val="24"/>
        </w:rPr>
        <w:t>.),</w:t>
      </w:r>
      <w:r w:rsidRPr="00E37789">
        <w:rPr>
          <w:rFonts w:ascii="Times New Roman" w:eastAsia="Calibri" w:hAnsi="Times New Roman" w:cs="Times New Roman"/>
          <w:sz w:val="24"/>
          <w:szCs w:val="24"/>
        </w:rPr>
        <w:t xml:space="preserve"> </w:t>
      </w:r>
      <w:r>
        <w:rPr>
          <w:rFonts w:ascii="Times New Roman" w:eastAsia="Calibri" w:hAnsi="Times New Roman" w:cs="Times New Roman"/>
          <w:sz w:val="24"/>
          <w:szCs w:val="24"/>
        </w:rPr>
        <w:t>a koje imaju utjecaj na odabir nabava u uzorak.</w:t>
      </w:r>
    </w:p>
    <w:p w14:paraId="1DC0C4A0" w14:textId="77777777" w:rsidR="00E9095A" w:rsidRDefault="00E9095A" w:rsidP="00EA5EF0">
      <w:pPr>
        <w:jc w:val="both"/>
        <w:rPr>
          <w:rFonts w:ascii="Times New Roman" w:eastAsia="Calibri" w:hAnsi="Times New Roman" w:cs="Times New Roman"/>
          <w:sz w:val="24"/>
          <w:szCs w:val="24"/>
        </w:rPr>
      </w:pPr>
    </w:p>
    <w:p w14:paraId="750552BB" w14:textId="702A3B0C" w:rsidR="00E9095A" w:rsidRPr="002F0218" w:rsidRDefault="00E9095A" w:rsidP="00E9095A">
      <w:pPr>
        <w:pStyle w:val="ListParagraph"/>
        <w:numPr>
          <w:ilvl w:val="0"/>
          <w:numId w:val="1"/>
        </w:numPr>
        <w:jc w:val="both"/>
        <w:rPr>
          <w:rFonts w:ascii="Times New Roman" w:eastAsia="Calibri" w:hAnsi="Times New Roman" w:cs="Times New Roman"/>
          <w:b/>
          <w:sz w:val="24"/>
          <w:szCs w:val="24"/>
        </w:rPr>
      </w:pPr>
      <w:r w:rsidRPr="002F0218">
        <w:rPr>
          <w:rFonts w:ascii="Times New Roman" w:eastAsia="Calibri" w:hAnsi="Times New Roman" w:cs="Times New Roman"/>
          <w:b/>
          <w:sz w:val="24"/>
          <w:szCs w:val="24"/>
        </w:rPr>
        <w:t xml:space="preserve">Ex-ante provjera postupaka nabava koji se planiraju provoditi nakon sklapanja ugovora o dodjeli bespovratnih sredstava, a </w:t>
      </w:r>
      <w:r w:rsidR="008D57CB">
        <w:rPr>
          <w:rFonts w:ascii="Times New Roman" w:eastAsia="Calibri" w:hAnsi="Times New Roman" w:cs="Times New Roman"/>
          <w:b/>
          <w:sz w:val="24"/>
          <w:szCs w:val="24"/>
        </w:rPr>
        <w:t xml:space="preserve">čija procijenjena vrijednost </w:t>
      </w:r>
      <w:r>
        <w:rPr>
          <w:rFonts w:ascii="Times New Roman" w:eastAsia="Calibri" w:hAnsi="Times New Roman" w:cs="Times New Roman"/>
          <w:b/>
          <w:sz w:val="24"/>
          <w:szCs w:val="24"/>
        </w:rPr>
        <w:t>i</w:t>
      </w:r>
      <w:r w:rsidR="008D57CB">
        <w:rPr>
          <w:rFonts w:ascii="Times New Roman" w:eastAsia="Calibri" w:hAnsi="Times New Roman" w:cs="Times New Roman"/>
          <w:b/>
          <w:sz w:val="24"/>
          <w:szCs w:val="24"/>
        </w:rPr>
        <w:t xml:space="preserve">znosi </w:t>
      </w:r>
      <w:r w:rsidRPr="002F0218">
        <w:rPr>
          <w:rFonts w:ascii="Times New Roman" w:eastAsia="Calibri" w:hAnsi="Times New Roman" w:cs="Times New Roman"/>
          <w:b/>
          <w:sz w:val="24"/>
          <w:szCs w:val="24"/>
        </w:rPr>
        <w:t>25 mil</w:t>
      </w:r>
      <w:r w:rsidR="00CF049F">
        <w:rPr>
          <w:rFonts w:ascii="Times New Roman" w:eastAsia="Calibri" w:hAnsi="Times New Roman" w:cs="Times New Roman"/>
          <w:b/>
          <w:sz w:val="24"/>
          <w:szCs w:val="24"/>
        </w:rPr>
        <w:t>ijuna</w:t>
      </w:r>
      <w:r w:rsidRPr="002F0218">
        <w:rPr>
          <w:rFonts w:ascii="Times New Roman" w:eastAsia="Calibri" w:hAnsi="Times New Roman" w:cs="Times New Roman"/>
          <w:b/>
          <w:sz w:val="24"/>
          <w:szCs w:val="24"/>
        </w:rPr>
        <w:t xml:space="preserve"> kuna</w:t>
      </w:r>
      <w:r>
        <w:rPr>
          <w:rFonts w:ascii="Times New Roman" w:eastAsia="Calibri" w:hAnsi="Times New Roman" w:cs="Times New Roman"/>
          <w:b/>
          <w:sz w:val="24"/>
          <w:szCs w:val="24"/>
        </w:rPr>
        <w:t xml:space="preserve"> ili više</w:t>
      </w:r>
      <w:r w:rsidRPr="002F0218">
        <w:rPr>
          <w:rFonts w:ascii="Times New Roman" w:eastAsia="Calibri" w:hAnsi="Times New Roman" w:cs="Times New Roman"/>
          <w:b/>
          <w:sz w:val="24"/>
          <w:szCs w:val="24"/>
        </w:rPr>
        <w:t xml:space="preserve"> za robe i usluge te 100 mil</w:t>
      </w:r>
      <w:r w:rsidR="00CF049F">
        <w:rPr>
          <w:rFonts w:ascii="Times New Roman" w:eastAsia="Calibri" w:hAnsi="Times New Roman" w:cs="Times New Roman"/>
          <w:b/>
          <w:sz w:val="24"/>
          <w:szCs w:val="24"/>
        </w:rPr>
        <w:t>ijuna</w:t>
      </w:r>
      <w:r w:rsidRPr="002F0218">
        <w:rPr>
          <w:rFonts w:ascii="Times New Roman" w:eastAsia="Calibri" w:hAnsi="Times New Roman" w:cs="Times New Roman"/>
          <w:b/>
          <w:sz w:val="24"/>
          <w:szCs w:val="24"/>
        </w:rPr>
        <w:t xml:space="preserve"> kuna</w:t>
      </w:r>
      <w:r>
        <w:rPr>
          <w:rFonts w:ascii="Times New Roman" w:eastAsia="Calibri" w:hAnsi="Times New Roman" w:cs="Times New Roman"/>
          <w:b/>
          <w:sz w:val="24"/>
          <w:szCs w:val="24"/>
        </w:rPr>
        <w:t xml:space="preserve"> ili više</w:t>
      </w:r>
      <w:r w:rsidRPr="002F0218">
        <w:rPr>
          <w:rFonts w:ascii="Times New Roman" w:eastAsia="Calibri" w:hAnsi="Times New Roman" w:cs="Times New Roman"/>
          <w:b/>
          <w:sz w:val="24"/>
          <w:szCs w:val="24"/>
        </w:rPr>
        <w:t xml:space="preserve"> za radove</w:t>
      </w:r>
    </w:p>
    <w:p w14:paraId="6D5E02C7" w14:textId="76169FD9" w:rsidR="008D57CB" w:rsidRPr="00CF049F" w:rsidRDefault="008D57CB" w:rsidP="00CF049F">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Sve nabave </w:t>
      </w:r>
      <w:r w:rsidRPr="00D61F56">
        <w:rPr>
          <w:rFonts w:ascii="Times New Roman" w:eastAsia="Calibri" w:hAnsi="Times New Roman" w:cs="Times New Roman"/>
          <w:sz w:val="24"/>
          <w:szCs w:val="24"/>
        </w:rPr>
        <w:t xml:space="preserve">čija procijenjena vrijednost iznosi </w:t>
      </w:r>
      <w:r w:rsidRPr="00CF049F">
        <w:rPr>
          <w:rFonts w:ascii="Times New Roman" w:eastAsia="Calibri" w:hAnsi="Times New Roman" w:cs="Times New Roman"/>
          <w:sz w:val="24"/>
          <w:szCs w:val="24"/>
        </w:rPr>
        <w:t>25 mil</w:t>
      </w:r>
      <w:r w:rsidR="00CF049F" w:rsidRPr="00CF049F">
        <w:rPr>
          <w:rFonts w:ascii="Times New Roman" w:eastAsia="Calibri" w:hAnsi="Times New Roman" w:cs="Times New Roman"/>
          <w:sz w:val="24"/>
          <w:szCs w:val="24"/>
        </w:rPr>
        <w:t>ijuna</w:t>
      </w:r>
      <w:r w:rsidRPr="00CF049F">
        <w:rPr>
          <w:rFonts w:ascii="Times New Roman" w:eastAsia="Calibri" w:hAnsi="Times New Roman" w:cs="Times New Roman"/>
          <w:sz w:val="24"/>
          <w:szCs w:val="24"/>
        </w:rPr>
        <w:t xml:space="preserve"> ku</w:t>
      </w:r>
      <w:r w:rsidR="00CF049F" w:rsidRPr="00CF049F">
        <w:rPr>
          <w:rFonts w:ascii="Times New Roman" w:eastAsia="Calibri" w:hAnsi="Times New Roman" w:cs="Times New Roman"/>
          <w:sz w:val="24"/>
          <w:szCs w:val="24"/>
        </w:rPr>
        <w:t xml:space="preserve">na ili više za robe i usluge te </w:t>
      </w:r>
      <w:r w:rsidRPr="00CF049F">
        <w:rPr>
          <w:rFonts w:ascii="Times New Roman" w:eastAsia="Calibri" w:hAnsi="Times New Roman" w:cs="Times New Roman"/>
          <w:sz w:val="24"/>
          <w:szCs w:val="24"/>
        </w:rPr>
        <w:t xml:space="preserve">100 </w:t>
      </w:r>
      <w:r w:rsidR="00CF049F" w:rsidRPr="00CF049F">
        <w:rPr>
          <w:rFonts w:ascii="Times New Roman" w:eastAsia="Calibri" w:hAnsi="Times New Roman" w:cs="Times New Roman"/>
          <w:sz w:val="24"/>
          <w:szCs w:val="24"/>
        </w:rPr>
        <w:t>milijuna</w:t>
      </w:r>
      <w:r w:rsidRPr="00CF049F">
        <w:rPr>
          <w:rFonts w:ascii="Times New Roman" w:eastAsia="Calibri" w:hAnsi="Times New Roman" w:cs="Times New Roman"/>
          <w:sz w:val="24"/>
          <w:szCs w:val="24"/>
        </w:rPr>
        <w:t xml:space="preserve"> kuna ili više za radove</w:t>
      </w:r>
      <w:r w:rsidR="00CF049F">
        <w:rPr>
          <w:rFonts w:ascii="Times New Roman" w:eastAsia="Calibri" w:hAnsi="Times New Roman" w:cs="Times New Roman"/>
          <w:sz w:val="24"/>
          <w:szCs w:val="24"/>
        </w:rPr>
        <w:t xml:space="preserve">, </w:t>
      </w:r>
      <w:r w:rsidR="00CF049F" w:rsidRPr="00CF049F">
        <w:rPr>
          <w:rFonts w:ascii="Times New Roman" w:eastAsia="Calibri" w:hAnsi="Times New Roman" w:cs="Times New Roman"/>
          <w:sz w:val="24"/>
          <w:szCs w:val="24"/>
        </w:rPr>
        <w:t xml:space="preserve"> </w:t>
      </w:r>
      <w:r w:rsidR="00CF049F">
        <w:rPr>
          <w:rFonts w:ascii="Times New Roman" w:eastAsia="Calibri" w:hAnsi="Times New Roman" w:cs="Times New Roman"/>
          <w:sz w:val="24"/>
          <w:szCs w:val="24"/>
        </w:rPr>
        <w:t>o</w:t>
      </w:r>
      <w:r w:rsidRPr="00CF049F">
        <w:rPr>
          <w:rFonts w:ascii="Times New Roman" w:eastAsia="Calibri" w:hAnsi="Times New Roman" w:cs="Times New Roman"/>
          <w:sz w:val="24"/>
          <w:szCs w:val="24"/>
        </w:rPr>
        <w:t>bavezno ulaze u uzorak za ex-ante pr</w:t>
      </w:r>
      <w:r w:rsidR="00CF049F">
        <w:rPr>
          <w:rFonts w:ascii="Times New Roman" w:eastAsia="Calibri" w:hAnsi="Times New Roman" w:cs="Times New Roman"/>
          <w:sz w:val="24"/>
          <w:szCs w:val="24"/>
        </w:rPr>
        <w:t>ovjeru</w:t>
      </w:r>
      <w:r w:rsidRPr="00CF049F">
        <w:rPr>
          <w:rFonts w:ascii="Times New Roman" w:eastAsia="Calibri" w:hAnsi="Times New Roman" w:cs="Times New Roman"/>
          <w:sz w:val="24"/>
          <w:szCs w:val="24"/>
        </w:rPr>
        <w:t>.</w:t>
      </w:r>
    </w:p>
    <w:p w14:paraId="26D685EE" w14:textId="77777777" w:rsidR="008D57CB" w:rsidRPr="00D61F56" w:rsidRDefault="008D57CB">
      <w:pPr>
        <w:jc w:val="both"/>
        <w:rPr>
          <w:rFonts w:ascii="Times New Roman" w:eastAsia="Calibri" w:hAnsi="Times New Roman" w:cs="Times New Roman"/>
          <w:sz w:val="24"/>
          <w:szCs w:val="24"/>
        </w:rPr>
      </w:pPr>
    </w:p>
    <w:p w14:paraId="373B154D" w14:textId="49054CCF" w:rsidR="001F2508" w:rsidRPr="00D61F56" w:rsidRDefault="001F2508" w:rsidP="00D61F56">
      <w:pPr>
        <w:pStyle w:val="ListParagraph"/>
        <w:numPr>
          <w:ilvl w:val="0"/>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 xml:space="preserve"> Nadležno tijelo koje vrši ex-ante </w:t>
      </w:r>
      <w:r w:rsidR="00CF049F">
        <w:rPr>
          <w:rFonts w:ascii="Times New Roman" w:eastAsia="Calibri" w:hAnsi="Times New Roman" w:cs="Times New Roman"/>
          <w:b/>
          <w:sz w:val="24"/>
          <w:szCs w:val="24"/>
        </w:rPr>
        <w:t>provjeru</w:t>
      </w:r>
    </w:p>
    <w:p w14:paraId="3F8DFAFD" w14:textId="25C441B4" w:rsidR="007A4A79" w:rsidRDefault="00C83B9B" w:rsidP="00EA5EF0">
      <w:pPr>
        <w:jc w:val="both"/>
        <w:rPr>
          <w:rFonts w:ascii="Times New Roman" w:eastAsia="Calibri" w:hAnsi="Times New Roman" w:cs="Times New Roman"/>
          <w:sz w:val="24"/>
          <w:szCs w:val="24"/>
        </w:rPr>
      </w:pPr>
      <w:r w:rsidRPr="00D61F56">
        <w:rPr>
          <w:rFonts w:ascii="Times New Roman" w:eastAsia="Calibri" w:hAnsi="Times New Roman" w:cs="Times New Roman"/>
          <w:sz w:val="24"/>
          <w:szCs w:val="24"/>
        </w:rPr>
        <w:t xml:space="preserve">U nastavku se nalazi </w:t>
      </w:r>
      <w:r w:rsidR="001E1661">
        <w:rPr>
          <w:rFonts w:ascii="Times New Roman" w:eastAsia="Calibri" w:hAnsi="Times New Roman" w:cs="Times New Roman"/>
          <w:sz w:val="24"/>
          <w:szCs w:val="24"/>
        </w:rPr>
        <w:t xml:space="preserve">tablica </w:t>
      </w:r>
      <w:r w:rsidR="00CF049F">
        <w:rPr>
          <w:rFonts w:ascii="Times New Roman" w:eastAsia="Calibri" w:hAnsi="Times New Roman" w:cs="Times New Roman"/>
          <w:sz w:val="24"/>
          <w:szCs w:val="24"/>
        </w:rPr>
        <w:t>s prikazom</w:t>
      </w:r>
      <w:r w:rsidRPr="00D61F56">
        <w:rPr>
          <w:rFonts w:ascii="Times New Roman" w:eastAsia="Calibri" w:hAnsi="Times New Roman" w:cs="Times New Roman"/>
          <w:sz w:val="24"/>
          <w:szCs w:val="24"/>
        </w:rPr>
        <w:t xml:space="preserve"> nadležno</w:t>
      </w:r>
      <w:r w:rsidR="00CF049F">
        <w:rPr>
          <w:rFonts w:ascii="Times New Roman" w:eastAsia="Calibri" w:hAnsi="Times New Roman" w:cs="Times New Roman"/>
          <w:sz w:val="24"/>
          <w:szCs w:val="24"/>
        </w:rPr>
        <w:t>g</w:t>
      </w:r>
      <w:r w:rsidRPr="00D61F56">
        <w:rPr>
          <w:rFonts w:ascii="Times New Roman" w:eastAsia="Calibri" w:hAnsi="Times New Roman" w:cs="Times New Roman"/>
          <w:sz w:val="24"/>
          <w:szCs w:val="24"/>
        </w:rPr>
        <w:t xml:space="preserve"> tijel</w:t>
      </w:r>
      <w:r w:rsidR="00CF049F">
        <w:rPr>
          <w:rFonts w:ascii="Times New Roman" w:eastAsia="Calibri" w:hAnsi="Times New Roman" w:cs="Times New Roman"/>
          <w:sz w:val="24"/>
          <w:szCs w:val="24"/>
        </w:rPr>
        <w:t>a</w:t>
      </w:r>
      <w:r w:rsidRPr="00D61F56">
        <w:rPr>
          <w:rFonts w:ascii="Times New Roman" w:eastAsia="Calibri" w:hAnsi="Times New Roman" w:cs="Times New Roman"/>
          <w:sz w:val="24"/>
          <w:szCs w:val="24"/>
        </w:rPr>
        <w:t xml:space="preserve"> koje </w:t>
      </w:r>
      <w:r w:rsidR="00CF049F">
        <w:rPr>
          <w:rFonts w:ascii="Times New Roman" w:eastAsia="Calibri" w:hAnsi="Times New Roman" w:cs="Times New Roman"/>
          <w:sz w:val="24"/>
          <w:szCs w:val="24"/>
        </w:rPr>
        <w:t xml:space="preserve">obavlja </w:t>
      </w:r>
      <w:r w:rsidRPr="00D61F56">
        <w:rPr>
          <w:rFonts w:ascii="Times New Roman" w:eastAsia="Calibri" w:hAnsi="Times New Roman" w:cs="Times New Roman"/>
          <w:sz w:val="24"/>
          <w:szCs w:val="24"/>
        </w:rPr>
        <w:t>ex-ante p</w:t>
      </w:r>
      <w:r w:rsidR="00CF049F">
        <w:rPr>
          <w:rFonts w:ascii="Times New Roman" w:eastAsia="Calibri" w:hAnsi="Times New Roman" w:cs="Times New Roman"/>
          <w:sz w:val="24"/>
          <w:szCs w:val="24"/>
        </w:rPr>
        <w:t>rovjeru</w:t>
      </w:r>
      <w:r w:rsidRPr="00D61F56">
        <w:rPr>
          <w:rFonts w:ascii="Times New Roman" w:eastAsia="Calibri" w:hAnsi="Times New Roman" w:cs="Times New Roman"/>
          <w:sz w:val="24"/>
          <w:szCs w:val="24"/>
        </w:rPr>
        <w:t xml:space="preserve">, a u odnosu na </w:t>
      </w:r>
      <w:r w:rsidR="00CF049F">
        <w:rPr>
          <w:rFonts w:ascii="Times New Roman" w:eastAsia="Calibri" w:hAnsi="Times New Roman" w:cs="Times New Roman"/>
          <w:sz w:val="24"/>
          <w:szCs w:val="24"/>
        </w:rPr>
        <w:t>procijenjene vrijednosti</w:t>
      </w:r>
      <w:r w:rsidR="00E50A86" w:rsidRPr="00D61F56">
        <w:rPr>
          <w:rFonts w:ascii="Times New Roman" w:eastAsia="Calibri" w:hAnsi="Times New Roman" w:cs="Times New Roman"/>
          <w:sz w:val="24"/>
          <w:szCs w:val="24"/>
        </w:rPr>
        <w:t xml:space="preserve"> nabava.</w:t>
      </w:r>
    </w:p>
    <w:p w14:paraId="26EED841" w14:textId="33EAED70" w:rsidR="001E1661" w:rsidRPr="00D61F56" w:rsidRDefault="001E1661" w:rsidP="00EA5EF0">
      <w:pPr>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Tablica 1.</w:t>
      </w:r>
    </w:p>
    <w:tbl>
      <w:tblPr>
        <w:tblStyle w:val="TableGrid"/>
        <w:tblW w:w="0" w:type="auto"/>
        <w:tblLook w:val="04A0" w:firstRow="1" w:lastRow="0" w:firstColumn="1" w:lastColumn="0" w:noHBand="0" w:noVBand="1"/>
      </w:tblPr>
      <w:tblGrid>
        <w:gridCol w:w="486"/>
        <w:gridCol w:w="3715"/>
        <w:gridCol w:w="1464"/>
        <w:gridCol w:w="1701"/>
        <w:gridCol w:w="1696"/>
      </w:tblGrid>
      <w:tr w:rsidR="00C83B9B" w:rsidRPr="00A809F5" w14:paraId="5B2C7454" w14:textId="77777777" w:rsidTr="00D61F56">
        <w:tc>
          <w:tcPr>
            <w:tcW w:w="486" w:type="dxa"/>
            <w:vAlign w:val="center"/>
          </w:tcPr>
          <w:p w14:paraId="1F4DBC8A" w14:textId="77777777" w:rsidR="00FE053F" w:rsidRPr="00D61F56" w:rsidRDefault="00FE053F" w:rsidP="00EA5EF0">
            <w:pPr>
              <w:jc w:val="both"/>
              <w:rPr>
                <w:rFonts w:ascii="Times New Roman" w:eastAsia="Calibri" w:hAnsi="Times New Roman" w:cs="Times New Roman"/>
              </w:rPr>
            </w:pPr>
          </w:p>
        </w:tc>
        <w:tc>
          <w:tcPr>
            <w:tcW w:w="3715" w:type="dxa"/>
            <w:vAlign w:val="center"/>
          </w:tcPr>
          <w:p w14:paraId="0446B541" w14:textId="6914274B" w:rsidR="00FE053F" w:rsidRPr="00D61F56" w:rsidRDefault="00CF049F" w:rsidP="00D61F56">
            <w:pPr>
              <w:jc w:val="center"/>
              <w:rPr>
                <w:rFonts w:ascii="Times New Roman" w:eastAsia="Calibri" w:hAnsi="Times New Roman" w:cs="Times New Roman"/>
                <w:b/>
              </w:rPr>
            </w:pPr>
            <w:r>
              <w:rPr>
                <w:rFonts w:ascii="Times New Roman" w:eastAsia="Calibri" w:hAnsi="Times New Roman" w:cs="Times New Roman"/>
                <w:b/>
              </w:rPr>
              <w:t xml:space="preserve">Procijenjena vrijednost nabava </w:t>
            </w:r>
          </w:p>
        </w:tc>
        <w:tc>
          <w:tcPr>
            <w:tcW w:w="1464" w:type="dxa"/>
            <w:vAlign w:val="center"/>
          </w:tcPr>
          <w:p w14:paraId="27A43E27" w14:textId="227E669C" w:rsidR="00FE053F" w:rsidRPr="00D61F56" w:rsidRDefault="00A809F5" w:rsidP="00D61F56">
            <w:pPr>
              <w:jc w:val="center"/>
              <w:rPr>
                <w:rFonts w:ascii="Times New Roman" w:eastAsia="Calibri" w:hAnsi="Times New Roman" w:cs="Times New Roman"/>
                <w:b/>
              </w:rPr>
            </w:pPr>
            <w:r w:rsidRPr="00D61F56">
              <w:rPr>
                <w:rFonts w:ascii="Times New Roman" w:eastAsia="Calibri" w:hAnsi="Times New Roman" w:cs="Times New Roman"/>
                <w:b/>
              </w:rPr>
              <w:t>Bodovni prag rizika</w:t>
            </w:r>
            <w:r w:rsidR="00A63CFE">
              <w:rPr>
                <w:rFonts w:ascii="Times New Roman" w:eastAsia="Calibri" w:hAnsi="Times New Roman" w:cs="Times New Roman"/>
                <w:b/>
              </w:rPr>
              <w:t xml:space="preserve"> za ex-ante</w:t>
            </w:r>
            <w:r w:rsidR="001A4A23">
              <w:rPr>
                <w:rFonts w:ascii="Times New Roman" w:eastAsia="Calibri" w:hAnsi="Times New Roman" w:cs="Times New Roman"/>
                <w:b/>
              </w:rPr>
              <w:t xml:space="preserve"> provjeru</w:t>
            </w:r>
          </w:p>
        </w:tc>
        <w:tc>
          <w:tcPr>
            <w:tcW w:w="1701" w:type="dxa"/>
            <w:vAlign w:val="center"/>
          </w:tcPr>
          <w:p w14:paraId="2E5CDA3E" w14:textId="0AE9B5CD" w:rsidR="00FE053F" w:rsidRPr="00D61F56" w:rsidRDefault="00A809F5" w:rsidP="00133886">
            <w:pPr>
              <w:jc w:val="center"/>
              <w:rPr>
                <w:rFonts w:ascii="Times New Roman" w:eastAsia="Calibri" w:hAnsi="Times New Roman" w:cs="Times New Roman"/>
                <w:b/>
              </w:rPr>
            </w:pPr>
            <w:r w:rsidRPr="00D61F56">
              <w:rPr>
                <w:rFonts w:ascii="Times New Roman" w:eastAsia="Calibri" w:hAnsi="Times New Roman" w:cs="Times New Roman"/>
                <w:b/>
              </w:rPr>
              <w:t>Pr</w:t>
            </w:r>
            <w:r w:rsidR="00133886">
              <w:rPr>
                <w:rFonts w:ascii="Times New Roman" w:eastAsia="Calibri" w:hAnsi="Times New Roman" w:cs="Times New Roman"/>
                <w:b/>
              </w:rPr>
              <w:t xml:space="preserve">ovjerava </w:t>
            </w:r>
            <w:r w:rsidR="00C83B9B" w:rsidRPr="00D61F56">
              <w:rPr>
                <w:rFonts w:ascii="Times New Roman" w:eastAsia="Calibri" w:hAnsi="Times New Roman" w:cs="Times New Roman"/>
                <w:b/>
              </w:rPr>
              <w:t xml:space="preserve">nadležni </w:t>
            </w:r>
            <w:r w:rsidRPr="00D61F56">
              <w:rPr>
                <w:rFonts w:ascii="Times New Roman" w:eastAsia="Calibri" w:hAnsi="Times New Roman" w:cs="Times New Roman"/>
                <w:b/>
              </w:rPr>
              <w:t>PT2</w:t>
            </w:r>
          </w:p>
        </w:tc>
        <w:tc>
          <w:tcPr>
            <w:tcW w:w="1696" w:type="dxa"/>
            <w:vAlign w:val="center"/>
          </w:tcPr>
          <w:p w14:paraId="62F13934" w14:textId="114A0B5A" w:rsidR="00FE053F" w:rsidRPr="00D61F56" w:rsidRDefault="00A809F5" w:rsidP="00133886">
            <w:pPr>
              <w:jc w:val="center"/>
              <w:rPr>
                <w:rFonts w:ascii="Times New Roman" w:eastAsia="Calibri" w:hAnsi="Times New Roman" w:cs="Times New Roman"/>
                <w:b/>
              </w:rPr>
            </w:pPr>
            <w:r w:rsidRPr="00D61F56">
              <w:rPr>
                <w:rFonts w:ascii="Times New Roman" w:eastAsia="Calibri" w:hAnsi="Times New Roman" w:cs="Times New Roman"/>
                <w:b/>
              </w:rPr>
              <w:t>Pr</w:t>
            </w:r>
            <w:r w:rsidR="00133886">
              <w:rPr>
                <w:rFonts w:ascii="Times New Roman" w:eastAsia="Calibri" w:hAnsi="Times New Roman" w:cs="Times New Roman"/>
                <w:b/>
              </w:rPr>
              <w:t>ojerava</w:t>
            </w:r>
            <w:r w:rsidRPr="00D61F56">
              <w:rPr>
                <w:rFonts w:ascii="Times New Roman" w:eastAsia="Calibri" w:hAnsi="Times New Roman" w:cs="Times New Roman"/>
                <w:b/>
              </w:rPr>
              <w:t xml:space="preserve"> SAFU</w:t>
            </w:r>
          </w:p>
        </w:tc>
      </w:tr>
      <w:tr w:rsidR="008D57CB" w:rsidRPr="00A809F5" w14:paraId="618A3A61" w14:textId="77777777" w:rsidTr="00DD7BA3">
        <w:tc>
          <w:tcPr>
            <w:tcW w:w="5665" w:type="dxa"/>
            <w:gridSpan w:val="3"/>
            <w:vAlign w:val="center"/>
          </w:tcPr>
          <w:p w14:paraId="3343A582" w14:textId="04812D82" w:rsidR="008D57CB" w:rsidRDefault="008D57CB">
            <w:pPr>
              <w:jc w:val="center"/>
              <w:rPr>
                <w:rFonts w:ascii="Times New Roman" w:eastAsia="Calibri" w:hAnsi="Times New Roman" w:cs="Times New Roman"/>
              </w:rPr>
            </w:pPr>
            <w:r>
              <w:rPr>
                <w:rFonts w:ascii="Times New Roman" w:eastAsia="Calibri" w:hAnsi="Times New Roman" w:cs="Times New Roman"/>
              </w:rPr>
              <w:t xml:space="preserve">Nabave </w:t>
            </w:r>
            <w:r w:rsidRPr="00D61F56">
              <w:rPr>
                <w:rFonts w:ascii="Times New Roman" w:eastAsia="Calibri" w:hAnsi="Times New Roman" w:cs="Times New Roman"/>
                <w:b/>
              </w:rPr>
              <w:t>prije</w:t>
            </w:r>
            <w:r w:rsidR="00CF049F">
              <w:rPr>
                <w:rFonts w:ascii="Times New Roman" w:eastAsia="Calibri" w:hAnsi="Times New Roman" w:cs="Times New Roman"/>
              </w:rPr>
              <w:t xml:space="preserve"> potpisa ugovora o dodjeli bespovratnih</w:t>
            </w:r>
            <w:r>
              <w:rPr>
                <w:rFonts w:ascii="Times New Roman" w:eastAsia="Calibri" w:hAnsi="Times New Roman" w:cs="Times New Roman"/>
              </w:rPr>
              <w:t xml:space="preserve"> sredstava:</w:t>
            </w:r>
          </w:p>
        </w:tc>
        <w:tc>
          <w:tcPr>
            <w:tcW w:w="1701" w:type="dxa"/>
            <w:vAlign w:val="center"/>
          </w:tcPr>
          <w:p w14:paraId="453130B6" w14:textId="77777777" w:rsidR="008D57CB" w:rsidRDefault="008D57CB">
            <w:pPr>
              <w:jc w:val="center"/>
              <w:rPr>
                <w:rFonts w:ascii="Times New Roman" w:eastAsia="Calibri" w:hAnsi="Times New Roman" w:cs="Times New Roman"/>
              </w:rPr>
            </w:pPr>
          </w:p>
        </w:tc>
        <w:tc>
          <w:tcPr>
            <w:tcW w:w="1696" w:type="dxa"/>
            <w:vAlign w:val="center"/>
          </w:tcPr>
          <w:p w14:paraId="0B2690B6" w14:textId="77777777" w:rsidR="008D57CB" w:rsidRDefault="008D57CB">
            <w:pPr>
              <w:jc w:val="center"/>
              <w:rPr>
                <w:rFonts w:ascii="Times New Roman" w:eastAsia="Calibri" w:hAnsi="Times New Roman" w:cs="Times New Roman"/>
              </w:rPr>
            </w:pPr>
          </w:p>
        </w:tc>
      </w:tr>
      <w:tr w:rsidR="00C83B9B" w:rsidRPr="00A809F5" w14:paraId="353922EA" w14:textId="77777777" w:rsidTr="00D61F56">
        <w:tc>
          <w:tcPr>
            <w:tcW w:w="486" w:type="dxa"/>
            <w:vAlign w:val="center"/>
          </w:tcPr>
          <w:p w14:paraId="53779EB2" w14:textId="1315BBEE" w:rsidR="00FE053F" w:rsidRPr="00D61F56" w:rsidRDefault="00A809F5" w:rsidP="00EA5EF0">
            <w:pPr>
              <w:jc w:val="both"/>
              <w:rPr>
                <w:rFonts w:ascii="Times New Roman" w:eastAsia="Calibri" w:hAnsi="Times New Roman" w:cs="Times New Roman"/>
              </w:rPr>
            </w:pPr>
            <w:r w:rsidRPr="00D61F56">
              <w:rPr>
                <w:rFonts w:ascii="Times New Roman" w:eastAsia="Calibri" w:hAnsi="Times New Roman" w:cs="Times New Roman"/>
              </w:rPr>
              <w:t>1.</w:t>
            </w:r>
          </w:p>
        </w:tc>
        <w:tc>
          <w:tcPr>
            <w:tcW w:w="3715" w:type="dxa"/>
            <w:vAlign w:val="center"/>
          </w:tcPr>
          <w:p w14:paraId="72B5CACC" w14:textId="77777777" w:rsidR="00C83B9B" w:rsidRDefault="00A809F5" w:rsidP="00A809F5">
            <w:pPr>
              <w:jc w:val="both"/>
              <w:rPr>
                <w:rFonts w:ascii="Times New Roman" w:eastAsia="Calibri" w:hAnsi="Times New Roman" w:cs="Times New Roman"/>
              </w:rPr>
            </w:pPr>
            <w:r w:rsidRPr="00D61F56">
              <w:rPr>
                <w:rFonts w:ascii="Times New Roman" w:eastAsia="Calibri" w:hAnsi="Times New Roman" w:cs="Times New Roman"/>
                <w:b/>
              </w:rPr>
              <w:t>javna</w:t>
            </w:r>
            <w:r w:rsidRPr="00D61F56">
              <w:rPr>
                <w:rFonts w:ascii="Times New Roman" w:eastAsia="Calibri" w:hAnsi="Times New Roman" w:cs="Times New Roman"/>
              </w:rPr>
              <w:t xml:space="preserve"> nabava: </w:t>
            </w:r>
          </w:p>
          <w:p w14:paraId="136427BB" w14:textId="6ABB8680" w:rsidR="00A809F5" w:rsidRPr="00D61F56" w:rsidRDefault="00A809F5" w:rsidP="00A809F5">
            <w:pPr>
              <w:jc w:val="both"/>
              <w:rPr>
                <w:rFonts w:ascii="Times New Roman" w:eastAsia="Calibri" w:hAnsi="Times New Roman" w:cs="Times New Roman"/>
              </w:rPr>
            </w:pPr>
            <w:r w:rsidRPr="00D61F56">
              <w:rPr>
                <w:rFonts w:ascii="Times New Roman" w:eastAsia="Calibri" w:hAnsi="Times New Roman" w:cs="Times New Roman"/>
              </w:rPr>
              <w:t>- roba i usluga PV</w:t>
            </w:r>
            <w:r w:rsidR="006B24CC">
              <w:rPr>
                <w:rFonts w:ascii="Times New Roman" w:eastAsia="Calibri" w:hAnsi="Times New Roman" w:cs="Times New Roman"/>
              </w:rPr>
              <w:t>* 5 mil</w:t>
            </w:r>
            <w:r w:rsidR="00CF049F">
              <w:rPr>
                <w:rFonts w:ascii="Times New Roman" w:eastAsia="Calibri" w:hAnsi="Times New Roman" w:cs="Times New Roman"/>
              </w:rPr>
              <w:t>ijuna</w:t>
            </w:r>
            <w:r w:rsidRPr="00D61F56">
              <w:rPr>
                <w:rFonts w:ascii="Times New Roman" w:eastAsia="Calibri" w:hAnsi="Times New Roman" w:cs="Times New Roman"/>
              </w:rPr>
              <w:t xml:space="preserve"> kuna i više</w:t>
            </w:r>
          </w:p>
          <w:p w14:paraId="792A5D20" w14:textId="3723D822" w:rsidR="00FE053F" w:rsidRDefault="00A809F5">
            <w:pPr>
              <w:jc w:val="both"/>
              <w:rPr>
                <w:rFonts w:ascii="Times New Roman" w:eastAsia="Calibri" w:hAnsi="Times New Roman" w:cs="Times New Roman"/>
              </w:rPr>
            </w:pPr>
            <w:r w:rsidRPr="00D61F56">
              <w:rPr>
                <w:rFonts w:ascii="Times New Roman" w:eastAsia="Calibri" w:hAnsi="Times New Roman" w:cs="Times New Roman"/>
              </w:rPr>
              <w:t>- radova PV</w:t>
            </w:r>
            <w:r w:rsidR="006B24CC">
              <w:rPr>
                <w:rFonts w:ascii="Times New Roman" w:eastAsia="Calibri" w:hAnsi="Times New Roman" w:cs="Times New Roman"/>
              </w:rPr>
              <w:t xml:space="preserve"> 15 mil</w:t>
            </w:r>
            <w:r w:rsidR="00CF049F">
              <w:rPr>
                <w:rFonts w:ascii="Times New Roman" w:eastAsia="Calibri" w:hAnsi="Times New Roman" w:cs="Times New Roman"/>
              </w:rPr>
              <w:t>ijuna</w:t>
            </w:r>
            <w:r w:rsidRPr="00D61F56">
              <w:rPr>
                <w:rFonts w:ascii="Times New Roman" w:eastAsia="Calibri" w:hAnsi="Times New Roman" w:cs="Times New Roman"/>
              </w:rPr>
              <w:t xml:space="preserve"> kuna i više</w:t>
            </w:r>
          </w:p>
          <w:p w14:paraId="2F0FE6E3" w14:textId="75275EF3" w:rsidR="00C83B9B" w:rsidRPr="00D61F56" w:rsidRDefault="00C83B9B">
            <w:pPr>
              <w:jc w:val="both"/>
              <w:rPr>
                <w:rFonts w:ascii="Times New Roman" w:eastAsia="Calibri" w:hAnsi="Times New Roman" w:cs="Times New Roman"/>
              </w:rPr>
            </w:pPr>
          </w:p>
        </w:tc>
        <w:tc>
          <w:tcPr>
            <w:tcW w:w="1464" w:type="dxa"/>
            <w:vAlign w:val="center"/>
          </w:tcPr>
          <w:p w14:paraId="1EFB0490" w14:textId="43FE3369" w:rsidR="00CF049F" w:rsidRPr="00133886" w:rsidRDefault="00133886" w:rsidP="00133886">
            <w:pPr>
              <w:jc w:val="both"/>
              <w:rPr>
                <w:rFonts w:ascii="Times New Roman" w:eastAsia="Calibri" w:hAnsi="Times New Roman" w:cs="Times New Roman"/>
              </w:rPr>
            </w:pPr>
            <w:r w:rsidRPr="00133886">
              <w:rPr>
                <w:rFonts w:ascii="Times New Roman" w:eastAsia="Calibri" w:hAnsi="Times New Roman" w:cs="Times New Roman"/>
              </w:rPr>
              <w:t>1.</w:t>
            </w:r>
            <w:r>
              <w:rPr>
                <w:rFonts w:ascii="Times New Roman" w:eastAsia="Calibri" w:hAnsi="Times New Roman" w:cs="Times New Roman"/>
              </w:rPr>
              <w:t xml:space="preserve"> </w:t>
            </w:r>
            <w:r w:rsidR="00CF049F" w:rsidRPr="00133886">
              <w:rPr>
                <w:rFonts w:ascii="Times New Roman" w:eastAsia="Calibri" w:hAnsi="Times New Roman" w:cs="Times New Roman"/>
              </w:rPr>
              <w:t xml:space="preserve">6 ili više bodova provjerava </w:t>
            </w:r>
            <w:r w:rsidR="00CF049F" w:rsidRPr="00133886">
              <w:rPr>
                <w:rFonts w:ascii="Times New Roman" w:eastAsia="Calibri" w:hAnsi="Times New Roman" w:cs="Times New Roman"/>
                <w:b/>
              </w:rPr>
              <w:t>SAFU</w:t>
            </w:r>
          </w:p>
          <w:p w14:paraId="4AC23623" w14:textId="77777777" w:rsidR="00CF049F" w:rsidRPr="00CF049F" w:rsidRDefault="00CF049F" w:rsidP="00133886">
            <w:pPr>
              <w:jc w:val="both"/>
              <w:rPr>
                <w:rFonts w:ascii="Times New Roman" w:eastAsia="Calibri" w:hAnsi="Times New Roman" w:cs="Times New Roman"/>
              </w:rPr>
            </w:pPr>
          </w:p>
          <w:p w14:paraId="1EEAC6BB" w14:textId="20C17C98" w:rsidR="00CF049F" w:rsidRDefault="00133886" w:rsidP="00133886">
            <w:pPr>
              <w:jc w:val="both"/>
              <w:rPr>
                <w:rFonts w:ascii="Times New Roman" w:eastAsia="Calibri" w:hAnsi="Times New Roman" w:cs="Times New Roman"/>
              </w:rPr>
            </w:pPr>
            <w:r>
              <w:rPr>
                <w:rFonts w:ascii="Times New Roman" w:eastAsia="Calibri" w:hAnsi="Times New Roman" w:cs="Times New Roman"/>
              </w:rPr>
              <w:t>2. p</w:t>
            </w:r>
            <w:r w:rsidR="00CF049F" w:rsidRPr="00CF049F">
              <w:rPr>
                <w:rFonts w:ascii="Times New Roman" w:eastAsia="Calibri" w:hAnsi="Times New Roman" w:cs="Times New Roman"/>
              </w:rPr>
              <w:t xml:space="preserve">reostale nabave (izvan onih koje su ušle u uzorak koji provjerava </w:t>
            </w:r>
            <w:r w:rsidR="00CF049F">
              <w:rPr>
                <w:rFonts w:ascii="Times New Roman" w:eastAsia="Calibri" w:hAnsi="Times New Roman" w:cs="Times New Roman"/>
              </w:rPr>
              <w:t xml:space="preserve">SAFU) provjerava </w:t>
            </w:r>
            <w:r w:rsidR="00CF049F" w:rsidRPr="00133886">
              <w:rPr>
                <w:rFonts w:ascii="Times New Roman" w:eastAsia="Calibri" w:hAnsi="Times New Roman" w:cs="Times New Roman"/>
                <w:b/>
              </w:rPr>
              <w:t>nadležni PT 2</w:t>
            </w:r>
          </w:p>
          <w:p w14:paraId="62147153" w14:textId="77777777" w:rsidR="00CF049F" w:rsidRPr="00CF049F" w:rsidRDefault="00CF049F" w:rsidP="00133886">
            <w:pPr>
              <w:jc w:val="both"/>
              <w:rPr>
                <w:rFonts w:ascii="Times New Roman" w:eastAsia="Calibri" w:hAnsi="Times New Roman" w:cs="Times New Roman"/>
              </w:rPr>
            </w:pPr>
          </w:p>
          <w:p w14:paraId="2FD6B32D" w14:textId="0A07095B" w:rsidR="00CF049F" w:rsidRPr="00CF049F" w:rsidRDefault="00133886" w:rsidP="00133886">
            <w:pPr>
              <w:jc w:val="both"/>
              <w:rPr>
                <w:rFonts w:ascii="Times New Roman" w:eastAsia="Calibri" w:hAnsi="Times New Roman" w:cs="Times New Roman"/>
              </w:rPr>
            </w:pPr>
            <w:r>
              <w:rPr>
                <w:rFonts w:ascii="Times New Roman" w:eastAsia="Calibri" w:hAnsi="Times New Roman" w:cs="Times New Roman"/>
              </w:rPr>
              <w:t xml:space="preserve">3. </w:t>
            </w:r>
            <w:r w:rsidR="00CF049F" w:rsidRPr="00CF049F">
              <w:rPr>
                <w:rFonts w:ascii="Times New Roman" w:eastAsia="Calibri" w:hAnsi="Times New Roman" w:cs="Times New Roman"/>
              </w:rPr>
              <w:t>Nabave procijenjene vrijednosti iznad 100 milijuna kuna kada je riječ o radovima, te 25 milijuna kuna kada je riječ o robi i uslugama, obvezno ex-ante provje</w:t>
            </w:r>
            <w:r w:rsidR="00CF049F">
              <w:rPr>
                <w:rFonts w:ascii="Times New Roman" w:eastAsia="Calibri" w:hAnsi="Times New Roman" w:cs="Times New Roman"/>
              </w:rPr>
              <w:t xml:space="preserve">rava </w:t>
            </w:r>
            <w:r w:rsidR="00CF049F" w:rsidRPr="00133886">
              <w:rPr>
                <w:rFonts w:ascii="Times New Roman" w:eastAsia="Calibri" w:hAnsi="Times New Roman" w:cs="Times New Roman"/>
                <w:b/>
              </w:rPr>
              <w:t>SAFU</w:t>
            </w:r>
          </w:p>
          <w:p w14:paraId="10194C3D" w14:textId="184EB824" w:rsidR="00FE053F" w:rsidRPr="00D61F56" w:rsidRDefault="00FE053F" w:rsidP="00D61F56">
            <w:pPr>
              <w:jc w:val="center"/>
              <w:rPr>
                <w:rFonts w:ascii="Times New Roman" w:eastAsia="Calibri" w:hAnsi="Times New Roman" w:cs="Times New Roman"/>
              </w:rPr>
            </w:pPr>
          </w:p>
        </w:tc>
        <w:tc>
          <w:tcPr>
            <w:tcW w:w="1701" w:type="dxa"/>
            <w:vAlign w:val="center"/>
          </w:tcPr>
          <w:p w14:paraId="5354769B" w14:textId="25C3FB62" w:rsidR="00FE053F" w:rsidRPr="00D61F56" w:rsidRDefault="00CF049F" w:rsidP="00D61F56">
            <w:pPr>
              <w:jc w:val="center"/>
              <w:rPr>
                <w:rFonts w:ascii="Times New Roman" w:eastAsia="Calibri" w:hAnsi="Times New Roman" w:cs="Times New Roman"/>
              </w:rPr>
            </w:pPr>
            <w:r>
              <w:rPr>
                <w:rFonts w:ascii="Times New Roman" w:eastAsia="Calibri" w:hAnsi="Times New Roman" w:cs="Times New Roman"/>
              </w:rPr>
              <w:t>Da</w:t>
            </w:r>
            <w:r w:rsidR="00133886">
              <w:rPr>
                <w:rFonts w:ascii="Times New Roman" w:eastAsia="Calibri" w:hAnsi="Times New Roman" w:cs="Times New Roman"/>
              </w:rPr>
              <w:t xml:space="preserve"> (pod 2.)</w:t>
            </w:r>
          </w:p>
        </w:tc>
        <w:tc>
          <w:tcPr>
            <w:tcW w:w="1696" w:type="dxa"/>
            <w:vAlign w:val="center"/>
          </w:tcPr>
          <w:p w14:paraId="358E755C" w14:textId="21AFF1C2" w:rsidR="00FE053F" w:rsidRPr="00D61F56" w:rsidRDefault="00CF049F" w:rsidP="00D61F56">
            <w:pPr>
              <w:jc w:val="center"/>
              <w:rPr>
                <w:rFonts w:ascii="Times New Roman" w:eastAsia="Calibri" w:hAnsi="Times New Roman" w:cs="Times New Roman"/>
              </w:rPr>
            </w:pPr>
            <w:r>
              <w:rPr>
                <w:rFonts w:ascii="Times New Roman" w:eastAsia="Calibri" w:hAnsi="Times New Roman" w:cs="Times New Roman"/>
              </w:rPr>
              <w:t>Da</w:t>
            </w:r>
            <w:r w:rsidR="00133886">
              <w:rPr>
                <w:rFonts w:ascii="Times New Roman" w:eastAsia="Calibri" w:hAnsi="Times New Roman" w:cs="Times New Roman"/>
              </w:rPr>
              <w:t xml:space="preserve"> (pod 1. i 3.)</w:t>
            </w:r>
          </w:p>
        </w:tc>
      </w:tr>
      <w:tr w:rsidR="008D57CB" w:rsidRPr="00A809F5" w14:paraId="1F6747C6" w14:textId="77777777" w:rsidTr="00DD7BA3">
        <w:tc>
          <w:tcPr>
            <w:tcW w:w="5665" w:type="dxa"/>
            <w:gridSpan w:val="3"/>
            <w:vAlign w:val="center"/>
          </w:tcPr>
          <w:p w14:paraId="7E65378C" w14:textId="5F950467" w:rsidR="008D57CB" w:rsidRDefault="008D57CB" w:rsidP="00BF0DB3">
            <w:pPr>
              <w:jc w:val="center"/>
              <w:rPr>
                <w:rFonts w:ascii="Times New Roman" w:eastAsia="Calibri" w:hAnsi="Times New Roman" w:cs="Times New Roman"/>
              </w:rPr>
            </w:pPr>
            <w:r>
              <w:rPr>
                <w:rFonts w:ascii="Times New Roman" w:eastAsia="Calibri" w:hAnsi="Times New Roman" w:cs="Times New Roman"/>
              </w:rPr>
              <w:t xml:space="preserve">Nabave </w:t>
            </w:r>
            <w:r w:rsidRPr="00D61F56">
              <w:rPr>
                <w:rFonts w:ascii="Times New Roman" w:eastAsia="Calibri" w:hAnsi="Times New Roman" w:cs="Times New Roman"/>
                <w:b/>
              </w:rPr>
              <w:t>nakon</w:t>
            </w:r>
            <w:r>
              <w:rPr>
                <w:rFonts w:ascii="Times New Roman" w:eastAsia="Calibri" w:hAnsi="Times New Roman" w:cs="Times New Roman"/>
              </w:rPr>
              <w:t xml:space="preserve"> potpisa ugovora o dodjeli besp</w:t>
            </w:r>
            <w:r w:rsidR="00BF0DB3">
              <w:rPr>
                <w:rFonts w:ascii="Times New Roman" w:eastAsia="Calibri" w:hAnsi="Times New Roman" w:cs="Times New Roman"/>
              </w:rPr>
              <w:t>ovratnih s</w:t>
            </w:r>
            <w:r>
              <w:rPr>
                <w:rFonts w:ascii="Times New Roman" w:eastAsia="Calibri" w:hAnsi="Times New Roman" w:cs="Times New Roman"/>
              </w:rPr>
              <w:t>redstava:</w:t>
            </w:r>
          </w:p>
        </w:tc>
        <w:tc>
          <w:tcPr>
            <w:tcW w:w="1701" w:type="dxa"/>
            <w:vAlign w:val="center"/>
          </w:tcPr>
          <w:p w14:paraId="0C10ED86" w14:textId="77777777" w:rsidR="008D57CB" w:rsidRDefault="008D57CB">
            <w:pPr>
              <w:jc w:val="center"/>
              <w:rPr>
                <w:rFonts w:ascii="Times New Roman" w:eastAsia="Calibri" w:hAnsi="Times New Roman" w:cs="Times New Roman"/>
              </w:rPr>
            </w:pPr>
          </w:p>
        </w:tc>
        <w:tc>
          <w:tcPr>
            <w:tcW w:w="1696" w:type="dxa"/>
            <w:vAlign w:val="center"/>
          </w:tcPr>
          <w:p w14:paraId="0074E44E" w14:textId="77777777" w:rsidR="008D57CB" w:rsidRDefault="008D57CB">
            <w:pPr>
              <w:jc w:val="center"/>
              <w:rPr>
                <w:rFonts w:ascii="Times New Roman" w:eastAsia="Calibri" w:hAnsi="Times New Roman" w:cs="Times New Roman"/>
              </w:rPr>
            </w:pPr>
          </w:p>
        </w:tc>
      </w:tr>
      <w:tr w:rsidR="00C83B9B" w:rsidRPr="00A809F5" w14:paraId="1986507B" w14:textId="77777777" w:rsidTr="00D61F56">
        <w:tc>
          <w:tcPr>
            <w:tcW w:w="486" w:type="dxa"/>
            <w:vAlign w:val="center"/>
          </w:tcPr>
          <w:p w14:paraId="6BFD3256" w14:textId="43D75B9F" w:rsidR="00FE053F" w:rsidRPr="00D61F56" w:rsidRDefault="00A809F5" w:rsidP="00EA5EF0">
            <w:pPr>
              <w:jc w:val="both"/>
              <w:rPr>
                <w:rFonts w:ascii="Times New Roman" w:eastAsia="Calibri" w:hAnsi="Times New Roman" w:cs="Times New Roman"/>
              </w:rPr>
            </w:pPr>
            <w:r w:rsidRPr="00D61F56">
              <w:rPr>
                <w:rFonts w:ascii="Times New Roman" w:eastAsia="Calibri" w:hAnsi="Times New Roman" w:cs="Times New Roman"/>
              </w:rPr>
              <w:t>2.</w:t>
            </w:r>
          </w:p>
        </w:tc>
        <w:tc>
          <w:tcPr>
            <w:tcW w:w="3715" w:type="dxa"/>
            <w:vAlign w:val="center"/>
          </w:tcPr>
          <w:p w14:paraId="3755F0EB" w14:textId="77777777" w:rsidR="006B24CC" w:rsidRDefault="006B24CC">
            <w:pPr>
              <w:jc w:val="both"/>
              <w:rPr>
                <w:rFonts w:ascii="Times New Roman" w:eastAsia="Calibri" w:hAnsi="Times New Roman" w:cs="Times New Roman"/>
              </w:rPr>
            </w:pPr>
            <w:r w:rsidRPr="006B24CC">
              <w:rPr>
                <w:rFonts w:ascii="Times New Roman" w:eastAsia="Calibri" w:hAnsi="Times New Roman" w:cs="Times New Roman"/>
              </w:rPr>
              <w:t xml:space="preserve">Nabave </w:t>
            </w:r>
            <w:r>
              <w:rPr>
                <w:rFonts w:ascii="Times New Roman" w:eastAsia="Calibri" w:hAnsi="Times New Roman" w:cs="Times New Roman"/>
              </w:rPr>
              <w:t>PV</w:t>
            </w:r>
            <w:r w:rsidRPr="006B24CC">
              <w:rPr>
                <w:rFonts w:ascii="Times New Roman" w:eastAsia="Calibri" w:hAnsi="Times New Roman" w:cs="Times New Roman"/>
              </w:rPr>
              <w:t xml:space="preserve"> </w:t>
            </w:r>
            <w:r>
              <w:rPr>
                <w:rFonts w:ascii="Times New Roman" w:eastAsia="Calibri" w:hAnsi="Times New Roman" w:cs="Times New Roman"/>
              </w:rPr>
              <w:t xml:space="preserve">ispod </w:t>
            </w:r>
          </w:p>
          <w:p w14:paraId="4C2E7F72" w14:textId="72D6BC35" w:rsidR="006B24CC" w:rsidRDefault="006B24CC">
            <w:pPr>
              <w:jc w:val="both"/>
              <w:rPr>
                <w:rFonts w:ascii="Times New Roman" w:eastAsia="Calibri" w:hAnsi="Times New Roman" w:cs="Times New Roman"/>
              </w:rPr>
            </w:pPr>
            <w:r>
              <w:rPr>
                <w:rFonts w:ascii="Times New Roman" w:eastAsia="Calibri" w:hAnsi="Times New Roman" w:cs="Times New Roman"/>
              </w:rPr>
              <w:t>- 1 mil</w:t>
            </w:r>
            <w:r w:rsidR="00BF0DB3">
              <w:rPr>
                <w:rFonts w:ascii="Times New Roman" w:eastAsia="Calibri" w:hAnsi="Times New Roman" w:cs="Times New Roman"/>
              </w:rPr>
              <w:t>ijuna</w:t>
            </w:r>
            <w:r w:rsidRPr="006B24CC">
              <w:rPr>
                <w:rFonts w:ascii="Times New Roman" w:eastAsia="Calibri" w:hAnsi="Times New Roman" w:cs="Times New Roman"/>
              </w:rPr>
              <w:t xml:space="preserve"> kuna za robe i usluge </w:t>
            </w:r>
          </w:p>
          <w:p w14:paraId="6B810A72" w14:textId="32FF2076" w:rsidR="00FE053F" w:rsidRPr="00D61F56" w:rsidRDefault="006B24CC">
            <w:pPr>
              <w:jc w:val="both"/>
              <w:rPr>
                <w:rFonts w:ascii="Times New Roman" w:eastAsia="Calibri" w:hAnsi="Times New Roman" w:cs="Times New Roman"/>
              </w:rPr>
            </w:pPr>
            <w:r>
              <w:rPr>
                <w:rFonts w:ascii="Times New Roman" w:eastAsia="Calibri" w:hAnsi="Times New Roman" w:cs="Times New Roman"/>
              </w:rPr>
              <w:t>- 5 mil</w:t>
            </w:r>
            <w:r w:rsidR="00BF0DB3">
              <w:rPr>
                <w:rFonts w:ascii="Times New Roman" w:eastAsia="Calibri" w:hAnsi="Times New Roman" w:cs="Times New Roman"/>
              </w:rPr>
              <w:t>ijuna</w:t>
            </w:r>
            <w:r w:rsidRPr="006B24CC">
              <w:rPr>
                <w:rFonts w:ascii="Times New Roman" w:eastAsia="Calibri" w:hAnsi="Times New Roman" w:cs="Times New Roman"/>
              </w:rPr>
              <w:t xml:space="preserve"> kuna za radove</w:t>
            </w:r>
          </w:p>
        </w:tc>
        <w:tc>
          <w:tcPr>
            <w:tcW w:w="1464" w:type="dxa"/>
            <w:vAlign w:val="center"/>
          </w:tcPr>
          <w:p w14:paraId="507AA555" w14:textId="15766FFF" w:rsidR="00FE053F" w:rsidRPr="00D61F56" w:rsidRDefault="006B24CC" w:rsidP="00D61F56">
            <w:pPr>
              <w:jc w:val="center"/>
              <w:rPr>
                <w:rFonts w:ascii="Times New Roman" w:eastAsia="Calibri" w:hAnsi="Times New Roman" w:cs="Times New Roman"/>
              </w:rPr>
            </w:pPr>
            <w:r>
              <w:rPr>
                <w:rFonts w:ascii="Times New Roman" w:eastAsia="Calibri" w:hAnsi="Times New Roman" w:cs="Times New Roman"/>
              </w:rPr>
              <w:t>8</w:t>
            </w:r>
            <w:r w:rsidR="008D57CB">
              <w:rPr>
                <w:rFonts w:ascii="Times New Roman" w:eastAsia="Calibri" w:hAnsi="Times New Roman" w:cs="Times New Roman"/>
              </w:rPr>
              <w:t xml:space="preserve"> i više</w:t>
            </w:r>
          </w:p>
        </w:tc>
        <w:tc>
          <w:tcPr>
            <w:tcW w:w="1701" w:type="dxa"/>
            <w:vAlign w:val="center"/>
          </w:tcPr>
          <w:p w14:paraId="25D37F20" w14:textId="543EDA66" w:rsidR="00FE053F" w:rsidRPr="00D61F56" w:rsidRDefault="006B24CC" w:rsidP="00D61F56">
            <w:pPr>
              <w:jc w:val="center"/>
              <w:rPr>
                <w:rFonts w:ascii="Times New Roman" w:eastAsia="Calibri" w:hAnsi="Times New Roman" w:cs="Times New Roman"/>
              </w:rPr>
            </w:pPr>
            <w:r>
              <w:rPr>
                <w:rFonts w:ascii="Times New Roman" w:eastAsia="Calibri" w:hAnsi="Times New Roman" w:cs="Times New Roman"/>
              </w:rPr>
              <w:t>Da</w:t>
            </w:r>
          </w:p>
        </w:tc>
        <w:tc>
          <w:tcPr>
            <w:tcW w:w="1696" w:type="dxa"/>
            <w:vAlign w:val="center"/>
          </w:tcPr>
          <w:p w14:paraId="0C2599B4" w14:textId="0BE8D44E" w:rsidR="00FE053F" w:rsidRPr="00D61F56" w:rsidRDefault="001A4A23" w:rsidP="00D61F56">
            <w:pPr>
              <w:jc w:val="center"/>
              <w:rPr>
                <w:rFonts w:ascii="Times New Roman" w:eastAsia="Calibri" w:hAnsi="Times New Roman" w:cs="Times New Roman"/>
              </w:rPr>
            </w:pPr>
            <w:r>
              <w:rPr>
                <w:rFonts w:ascii="Times New Roman" w:eastAsia="Calibri" w:hAnsi="Times New Roman" w:cs="Times New Roman"/>
              </w:rPr>
              <w:t>Ne</w:t>
            </w:r>
          </w:p>
        </w:tc>
      </w:tr>
      <w:tr w:rsidR="00C83B9B" w:rsidRPr="00A809F5" w14:paraId="5FD1CE3A" w14:textId="77777777" w:rsidTr="00D61F56">
        <w:tc>
          <w:tcPr>
            <w:tcW w:w="486" w:type="dxa"/>
            <w:vAlign w:val="center"/>
          </w:tcPr>
          <w:p w14:paraId="50CA3A1A" w14:textId="37E2CB83" w:rsidR="00FE053F" w:rsidRPr="00D61F56" w:rsidRDefault="00A809F5" w:rsidP="00EA5EF0">
            <w:pPr>
              <w:jc w:val="both"/>
              <w:rPr>
                <w:rFonts w:ascii="Times New Roman" w:eastAsia="Calibri" w:hAnsi="Times New Roman" w:cs="Times New Roman"/>
              </w:rPr>
            </w:pPr>
            <w:r w:rsidRPr="00D61F56">
              <w:rPr>
                <w:rFonts w:ascii="Times New Roman" w:eastAsia="Calibri" w:hAnsi="Times New Roman" w:cs="Times New Roman"/>
              </w:rPr>
              <w:t>3.</w:t>
            </w:r>
          </w:p>
        </w:tc>
        <w:tc>
          <w:tcPr>
            <w:tcW w:w="3715" w:type="dxa"/>
            <w:vAlign w:val="center"/>
          </w:tcPr>
          <w:p w14:paraId="4E74E6C8" w14:textId="57178990" w:rsidR="006B24CC" w:rsidRDefault="006B24CC" w:rsidP="006B24CC">
            <w:pPr>
              <w:jc w:val="both"/>
              <w:rPr>
                <w:rFonts w:ascii="Times New Roman" w:eastAsia="Calibri" w:hAnsi="Times New Roman" w:cs="Times New Roman"/>
              </w:rPr>
            </w:pPr>
            <w:r w:rsidRPr="006B24CC">
              <w:rPr>
                <w:rFonts w:ascii="Times New Roman" w:eastAsia="Calibri" w:hAnsi="Times New Roman" w:cs="Times New Roman"/>
              </w:rPr>
              <w:t xml:space="preserve">Nabave </w:t>
            </w:r>
            <w:r>
              <w:rPr>
                <w:rFonts w:ascii="Times New Roman" w:eastAsia="Calibri" w:hAnsi="Times New Roman" w:cs="Times New Roman"/>
              </w:rPr>
              <w:t>PV</w:t>
            </w:r>
            <w:r w:rsidRPr="006B24CC">
              <w:rPr>
                <w:rFonts w:ascii="Times New Roman" w:eastAsia="Calibri" w:hAnsi="Times New Roman" w:cs="Times New Roman"/>
              </w:rPr>
              <w:t xml:space="preserve"> </w:t>
            </w:r>
            <w:r>
              <w:rPr>
                <w:rFonts w:ascii="Times New Roman" w:eastAsia="Calibri" w:hAnsi="Times New Roman" w:cs="Times New Roman"/>
              </w:rPr>
              <w:t xml:space="preserve">u iznosu </w:t>
            </w:r>
          </w:p>
          <w:p w14:paraId="75C66AE8" w14:textId="008D153B" w:rsidR="006B24CC" w:rsidRDefault="006B24CC" w:rsidP="006B24CC">
            <w:pPr>
              <w:jc w:val="both"/>
              <w:rPr>
                <w:rFonts w:ascii="Times New Roman" w:eastAsia="Calibri" w:hAnsi="Times New Roman" w:cs="Times New Roman"/>
              </w:rPr>
            </w:pPr>
            <w:r>
              <w:rPr>
                <w:rFonts w:ascii="Times New Roman" w:eastAsia="Calibri" w:hAnsi="Times New Roman" w:cs="Times New Roman"/>
              </w:rPr>
              <w:t>- 1</w:t>
            </w:r>
            <w:r w:rsidR="0072532C">
              <w:rPr>
                <w:rFonts w:ascii="Times New Roman" w:eastAsia="Calibri" w:hAnsi="Times New Roman" w:cs="Times New Roman"/>
              </w:rPr>
              <w:t xml:space="preserve"> do </w:t>
            </w:r>
            <w:r>
              <w:rPr>
                <w:rFonts w:ascii="Times New Roman" w:eastAsia="Calibri" w:hAnsi="Times New Roman" w:cs="Times New Roman"/>
              </w:rPr>
              <w:t>5 mil</w:t>
            </w:r>
            <w:r w:rsidR="00BF0DB3">
              <w:rPr>
                <w:rFonts w:ascii="Times New Roman" w:eastAsia="Calibri" w:hAnsi="Times New Roman" w:cs="Times New Roman"/>
              </w:rPr>
              <w:t>ijuna</w:t>
            </w:r>
            <w:r w:rsidRPr="006B24CC">
              <w:rPr>
                <w:rFonts w:ascii="Times New Roman" w:eastAsia="Calibri" w:hAnsi="Times New Roman" w:cs="Times New Roman"/>
              </w:rPr>
              <w:t xml:space="preserve"> kuna za robe i usluge </w:t>
            </w:r>
          </w:p>
          <w:p w14:paraId="7923D2DB" w14:textId="3F741B0D" w:rsidR="00FE053F" w:rsidRPr="00D61F56" w:rsidRDefault="006B24CC" w:rsidP="006B24CC">
            <w:pPr>
              <w:jc w:val="both"/>
              <w:rPr>
                <w:rFonts w:ascii="Times New Roman" w:eastAsia="Calibri" w:hAnsi="Times New Roman" w:cs="Times New Roman"/>
              </w:rPr>
            </w:pPr>
            <w:r>
              <w:rPr>
                <w:rFonts w:ascii="Times New Roman" w:eastAsia="Calibri" w:hAnsi="Times New Roman" w:cs="Times New Roman"/>
              </w:rPr>
              <w:t>- 5</w:t>
            </w:r>
            <w:r w:rsidR="0072532C">
              <w:rPr>
                <w:rFonts w:ascii="Times New Roman" w:eastAsia="Calibri" w:hAnsi="Times New Roman" w:cs="Times New Roman"/>
              </w:rPr>
              <w:t xml:space="preserve"> do </w:t>
            </w:r>
            <w:r>
              <w:rPr>
                <w:rFonts w:ascii="Times New Roman" w:eastAsia="Calibri" w:hAnsi="Times New Roman" w:cs="Times New Roman"/>
              </w:rPr>
              <w:t>20 mil</w:t>
            </w:r>
            <w:r w:rsidR="00BF0DB3">
              <w:rPr>
                <w:rFonts w:ascii="Times New Roman" w:eastAsia="Calibri" w:hAnsi="Times New Roman" w:cs="Times New Roman"/>
              </w:rPr>
              <w:t>ijuna</w:t>
            </w:r>
            <w:r w:rsidRPr="006B24CC">
              <w:rPr>
                <w:rFonts w:ascii="Times New Roman" w:eastAsia="Calibri" w:hAnsi="Times New Roman" w:cs="Times New Roman"/>
              </w:rPr>
              <w:t xml:space="preserve"> kuna za radove</w:t>
            </w:r>
          </w:p>
        </w:tc>
        <w:tc>
          <w:tcPr>
            <w:tcW w:w="1464" w:type="dxa"/>
            <w:vAlign w:val="center"/>
          </w:tcPr>
          <w:p w14:paraId="6E5D0C79" w14:textId="5DCE12FD" w:rsidR="00FE053F" w:rsidRPr="00D61F56" w:rsidRDefault="006B24CC" w:rsidP="00D61F56">
            <w:pPr>
              <w:jc w:val="center"/>
              <w:rPr>
                <w:rFonts w:ascii="Times New Roman" w:eastAsia="Calibri" w:hAnsi="Times New Roman" w:cs="Times New Roman"/>
              </w:rPr>
            </w:pPr>
            <w:r>
              <w:rPr>
                <w:rFonts w:ascii="Times New Roman" w:eastAsia="Calibri" w:hAnsi="Times New Roman" w:cs="Times New Roman"/>
              </w:rPr>
              <w:t>6</w:t>
            </w:r>
            <w:r w:rsidR="008D57CB">
              <w:rPr>
                <w:rFonts w:ascii="Times New Roman" w:eastAsia="Calibri" w:hAnsi="Times New Roman" w:cs="Times New Roman"/>
              </w:rPr>
              <w:t xml:space="preserve"> i više</w:t>
            </w:r>
          </w:p>
        </w:tc>
        <w:tc>
          <w:tcPr>
            <w:tcW w:w="1701" w:type="dxa"/>
            <w:vAlign w:val="center"/>
          </w:tcPr>
          <w:p w14:paraId="22766CDA" w14:textId="5B66700A" w:rsidR="00FE053F" w:rsidRPr="00D61F56" w:rsidRDefault="006B24CC" w:rsidP="00D61F56">
            <w:pPr>
              <w:jc w:val="center"/>
              <w:rPr>
                <w:rFonts w:ascii="Times New Roman" w:eastAsia="Calibri" w:hAnsi="Times New Roman" w:cs="Times New Roman"/>
              </w:rPr>
            </w:pPr>
            <w:r>
              <w:rPr>
                <w:rFonts w:ascii="Times New Roman" w:eastAsia="Calibri" w:hAnsi="Times New Roman" w:cs="Times New Roman"/>
              </w:rPr>
              <w:t>Da</w:t>
            </w:r>
          </w:p>
        </w:tc>
        <w:tc>
          <w:tcPr>
            <w:tcW w:w="1696" w:type="dxa"/>
            <w:vAlign w:val="center"/>
          </w:tcPr>
          <w:p w14:paraId="02B473F9" w14:textId="7E2564D0" w:rsidR="00FE053F" w:rsidRPr="00D61F56" w:rsidRDefault="001A4A23" w:rsidP="00D61F56">
            <w:pPr>
              <w:jc w:val="center"/>
              <w:rPr>
                <w:rFonts w:ascii="Times New Roman" w:eastAsia="Calibri" w:hAnsi="Times New Roman" w:cs="Times New Roman"/>
              </w:rPr>
            </w:pPr>
            <w:r>
              <w:rPr>
                <w:rFonts w:ascii="Times New Roman" w:eastAsia="Calibri" w:hAnsi="Times New Roman" w:cs="Times New Roman"/>
              </w:rPr>
              <w:t>Ne</w:t>
            </w:r>
          </w:p>
        </w:tc>
      </w:tr>
      <w:tr w:rsidR="00C83B9B" w:rsidRPr="00A809F5" w14:paraId="2728E646" w14:textId="77777777" w:rsidTr="00D61F56">
        <w:tc>
          <w:tcPr>
            <w:tcW w:w="486" w:type="dxa"/>
            <w:vAlign w:val="center"/>
          </w:tcPr>
          <w:p w14:paraId="0EE17ED0" w14:textId="12A637E2" w:rsidR="00FE053F" w:rsidRPr="00D61F56" w:rsidRDefault="00A809F5" w:rsidP="00EA5EF0">
            <w:pPr>
              <w:jc w:val="both"/>
              <w:rPr>
                <w:rFonts w:ascii="Times New Roman" w:eastAsia="Calibri" w:hAnsi="Times New Roman" w:cs="Times New Roman"/>
              </w:rPr>
            </w:pPr>
            <w:r w:rsidRPr="00D61F56">
              <w:rPr>
                <w:rFonts w:ascii="Times New Roman" w:eastAsia="Calibri" w:hAnsi="Times New Roman" w:cs="Times New Roman"/>
              </w:rPr>
              <w:lastRenderedPageBreak/>
              <w:t>4.</w:t>
            </w:r>
          </w:p>
        </w:tc>
        <w:tc>
          <w:tcPr>
            <w:tcW w:w="3715" w:type="dxa"/>
            <w:vAlign w:val="center"/>
          </w:tcPr>
          <w:p w14:paraId="41A45222" w14:textId="77777777" w:rsidR="00A63CFE" w:rsidRDefault="00A63CFE" w:rsidP="00A63CFE">
            <w:pPr>
              <w:jc w:val="both"/>
              <w:rPr>
                <w:rFonts w:ascii="Times New Roman" w:eastAsia="Calibri" w:hAnsi="Times New Roman" w:cs="Times New Roman"/>
              </w:rPr>
            </w:pPr>
            <w:r w:rsidRPr="006B24CC">
              <w:rPr>
                <w:rFonts w:ascii="Times New Roman" w:eastAsia="Calibri" w:hAnsi="Times New Roman" w:cs="Times New Roman"/>
              </w:rPr>
              <w:t xml:space="preserve">Nabave </w:t>
            </w:r>
            <w:r>
              <w:rPr>
                <w:rFonts w:ascii="Times New Roman" w:eastAsia="Calibri" w:hAnsi="Times New Roman" w:cs="Times New Roman"/>
              </w:rPr>
              <w:t>PV</w:t>
            </w:r>
            <w:r w:rsidRPr="006B24CC">
              <w:rPr>
                <w:rFonts w:ascii="Times New Roman" w:eastAsia="Calibri" w:hAnsi="Times New Roman" w:cs="Times New Roman"/>
              </w:rPr>
              <w:t xml:space="preserve"> </w:t>
            </w:r>
            <w:r>
              <w:rPr>
                <w:rFonts w:ascii="Times New Roman" w:eastAsia="Calibri" w:hAnsi="Times New Roman" w:cs="Times New Roman"/>
              </w:rPr>
              <w:t xml:space="preserve">u iznosu </w:t>
            </w:r>
          </w:p>
          <w:p w14:paraId="57EFA782" w14:textId="643E986A" w:rsidR="00A63CFE" w:rsidRDefault="00A63CFE" w:rsidP="00A63CFE">
            <w:pPr>
              <w:jc w:val="both"/>
              <w:rPr>
                <w:rFonts w:ascii="Times New Roman" w:eastAsia="Calibri" w:hAnsi="Times New Roman" w:cs="Times New Roman"/>
              </w:rPr>
            </w:pPr>
            <w:r>
              <w:rPr>
                <w:rFonts w:ascii="Times New Roman" w:eastAsia="Calibri" w:hAnsi="Times New Roman" w:cs="Times New Roman"/>
              </w:rPr>
              <w:t xml:space="preserve">- </w:t>
            </w:r>
            <w:r w:rsidR="0072532C">
              <w:rPr>
                <w:rFonts w:ascii="Times New Roman" w:eastAsia="Calibri" w:hAnsi="Times New Roman" w:cs="Times New Roman"/>
              </w:rPr>
              <w:t>5 do 25</w:t>
            </w:r>
            <w:r>
              <w:rPr>
                <w:rFonts w:ascii="Times New Roman" w:eastAsia="Calibri" w:hAnsi="Times New Roman" w:cs="Times New Roman"/>
              </w:rPr>
              <w:t xml:space="preserve"> mil</w:t>
            </w:r>
            <w:r w:rsidR="00BF0DB3">
              <w:rPr>
                <w:rFonts w:ascii="Times New Roman" w:eastAsia="Calibri" w:hAnsi="Times New Roman" w:cs="Times New Roman"/>
              </w:rPr>
              <w:t>ijuna</w:t>
            </w:r>
            <w:r w:rsidRPr="006B24CC">
              <w:rPr>
                <w:rFonts w:ascii="Times New Roman" w:eastAsia="Calibri" w:hAnsi="Times New Roman" w:cs="Times New Roman"/>
              </w:rPr>
              <w:t xml:space="preserve"> kuna za robe i usluge </w:t>
            </w:r>
          </w:p>
          <w:p w14:paraId="26A677E6" w14:textId="506A05E1" w:rsidR="00FE053F" w:rsidRDefault="00A63CFE" w:rsidP="00A63CFE">
            <w:pPr>
              <w:jc w:val="both"/>
              <w:rPr>
                <w:rFonts w:ascii="Times New Roman" w:eastAsia="Calibri" w:hAnsi="Times New Roman" w:cs="Times New Roman"/>
              </w:rPr>
            </w:pPr>
            <w:r>
              <w:rPr>
                <w:rFonts w:ascii="Times New Roman" w:eastAsia="Calibri" w:hAnsi="Times New Roman" w:cs="Times New Roman"/>
              </w:rPr>
              <w:t xml:space="preserve">- </w:t>
            </w:r>
            <w:r w:rsidR="0072532C">
              <w:rPr>
                <w:rFonts w:ascii="Times New Roman" w:eastAsia="Calibri" w:hAnsi="Times New Roman" w:cs="Times New Roman"/>
              </w:rPr>
              <w:t>20 do 10</w:t>
            </w:r>
            <w:r>
              <w:rPr>
                <w:rFonts w:ascii="Times New Roman" w:eastAsia="Calibri" w:hAnsi="Times New Roman" w:cs="Times New Roman"/>
              </w:rPr>
              <w:t>0 mil</w:t>
            </w:r>
            <w:r w:rsidR="00BF0DB3">
              <w:rPr>
                <w:rFonts w:ascii="Times New Roman" w:eastAsia="Calibri" w:hAnsi="Times New Roman" w:cs="Times New Roman"/>
              </w:rPr>
              <w:t>ijuna</w:t>
            </w:r>
            <w:r w:rsidRPr="006B24CC">
              <w:rPr>
                <w:rFonts w:ascii="Times New Roman" w:eastAsia="Calibri" w:hAnsi="Times New Roman" w:cs="Times New Roman"/>
              </w:rPr>
              <w:t xml:space="preserve"> kuna za radove</w:t>
            </w:r>
          </w:p>
          <w:p w14:paraId="5B5267FA" w14:textId="77777777" w:rsidR="0007519F" w:rsidRDefault="0007519F" w:rsidP="00A63CFE">
            <w:pPr>
              <w:jc w:val="both"/>
              <w:rPr>
                <w:rFonts w:ascii="Times New Roman" w:eastAsia="Calibri" w:hAnsi="Times New Roman" w:cs="Times New Roman"/>
              </w:rPr>
            </w:pPr>
          </w:p>
          <w:p w14:paraId="7BCA9FB7" w14:textId="036BCF38" w:rsidR="0007519F" w:rsidRPr="00D61F56" w:rsidRDefault="0007519F" w:rsidP="00A63CFE">
            <w:pPr>
              <w:jc w:val="both"/>
              <w:rPr>
                <w:rFonts w:ascii="Times New Roman" w:eastAsia="Calibri" w:hAnsi="Times New Roman" w:cs="Times New Roman"/>
                <w:b/>
              </w:rPr>
            </w:pPr>
            <w:r w:rsidRPr="00D61F56">
              <w:rPr>
                <w:rFonts w:ascii="Times New Roman" w:eastAsia="Calibri" w:hAnsi="Times New Roman" w:cs="Times New Roman"/>
                <w:b/>
              </w:rPr>
              <w:t>Vidjeti točku 4.1 niže u tekstu</w:t>
            </w:r>
          </w:p>
        </w:tc>
        <w:tc>
          <w:tcPr>
            <w:tcW w:w="1464" w:type="dxa"/>
            <w:vAlign w:val="center"/>
          </w:tcPr>
          <w:p w14:paraId="275E2B7D" w14:textId="41A1E262" w:rsidR="00FE053F" w:rsidRPr="00D61F56" w:rsidRDefault="00A63CFE" w:rsidP="00D61F56">
            <w:pPr>
              <w:jc w:val="center"/>
              <w:rPr>
                <w:rFonts w:ascii="Times New Roman" w:eastAsia="Calibri" w:hAnsi="Times New Roman" w:cs="Times New Roman"/>
              </w:rPr>
            </w:pPr>
            <w:r>
              <w:rPr>
                <w:rFonts w:ascii="Times New Roman" w:eastAsia="Calibri" w:hAnsi="Times New Roman" w:cs="Times New Roman"/>
              </w:rPr>
              <w:t>6</w:t>
            </w:r>
            <w:r w:rsidR="008D57CB">
              <w:rPr>
                <w:rFonts w:ascii="Times New Roman" w:eastAsia="Calibri" w:hAnsi="Times New Roman" w:cs="Times New Roman"/>
              </w:rPr>
              <w:t xml:space="preserve"> i više</w:t>
            </w:r>
          </w:p>
        </w:tc>
        <w:tc>
          <w:tcPr>
            <w:tcW w:w="1701" w:type="dxa"/>
            <w:vAlign w:val="center"/>
          </w:tcPr>
          <w:p w14:paraId="49D90CCD" w14:textId="0F98D81B" w:rsidR="00FE053F" w:rsidRPr="00D61F56" w:rsidRDefault="0072532C" w:rsidP="00D61F56">
            <w:pPr>
              <w:jc w:val="center"/>
              <w:rPr>
                <w:rFonts w:ascii="Times New Roman" w:eastAsia="Calibri" w:hAnsi="Times New Roman" w:cs="Times New Roman"/>
              </w:rPr>
            </w:pPr>
            <w:r>
              <w:rPr>
                <w:rFonts w:ascii="Times New Roman" w:eastAsia="Calibri" w:hAnsi="Times New Roman" w:cs="Times New Roman"/>
              </w:rPr>
              <w:t>Da, p</w:t>
            </w:r>
            <w:r w:rsidRPr="0072532C">
              <w:rPr>
                <w:rFonts w:ascii="Times New Roman" w:eastAsia="Calibri" w:hAnsi="Times New Roman" w:cs="Times New Roman"/>
              </w:rPr>
              <w:t>reostale nabave (</w:t>
            </w:r>
            <w:r w:rsidRPr="00D61F56">
              <w:rPr>
                <w:rFonts w:ascii="Times New Roman" w:eastAsia="Calibri" w:hAnsi="Times New Roman" w:cs="Times New Roman"/>
                <w:b/>
              </w:rPr>
              <w:t>izvan onih koje provjerava SAFU</w:t>
            </w:r>
            <w:r w:rsidRPr="0072532C">
              <w:rPr>
                <w:rFonts w:ascii="Times New Roman" w:eastAsia="Calibri" w:hAnsi="Times New Roman" w:cs="Times New Roman"/>
              </w:rPr>
              <w:t xml:space="preserve">) provjerava nadležni </w:t>
            </w:r>
            <w:r w:rsidR="004C6D1E">
              <w:rPr>
                <w:rFonts w:ascii="Times New Roman" w:eastAsia="Calibri" w:hAnsi="Times New Roman" w:cs="Times New Roman"/>
              </w:rPr>
              <w:t>PT2</w:t>
            </w:r>
            <w:r w:rsidR="007204A7" w:rsidRPr="0072532C">
              <w:rPr>
                <w:rFonts w:ascii="Times New Roman" w:eastAsia="Calibri" w:hAnsi="Times New Roman" w:cs="Times New Roman"/>
              </w:rPr>
              <w:t xml:space="preserve"> primjenom metodologije</w:t>
            </w:r>
            <w:r w:rsidR="007204A7">
              <w:rPr>
                <w:rFonts w:ascii="Times New Roman" w:eastAsia="Calibri" w:hAnsi="Times New Roman" w:cs="Times New Roman"/>
              </w:rPr>
              <w:t xml:space="preserve"> iz točke 2.1</w:t>
            </w:r>
          </w:p>
        </w:tc>
        <w:tc>
          <w:tcPr>
            <w:tcW w:w="1696" w:type="dxa"/>
            <w:vAlign w:val="center"/>
          </w:tcPr>
          <w:p w14:paraId="62B72590" w14:textId="1C600B1B" w:rsidR="00FE053F" w:rsidRPr="00D61F56" w:rsidRDefault="0072532C" w:rsidP="00D61F56">
            <w:pPr>
              <w:jc w:val="center"/>
              <w:rPr>
                <w:rFonts w:ascii="Times New Roman" w:eastAsia="Calibri" w:hAnsi="Times New Roman" w:cs="Times New Roman"/>
              </w:rPr>
            </w:pPr>
            <w:r>
              <w:rPr>
                <w:rFonts w:ascii="Times New Roman" w:eastAsia="Calibri" w:hAnsi="Times New Roman" w:cs="Times New Roman"/>
              </w:rPr>
              <w:t xml:space="preserve">Da, </w:t>
            </w:r>
            <w:r w:rsidRPr="0072532C">
              <w:rPr>
                <w:rFonts w:ascii="Times New Roman" w:eastAsia="Calibri" w:hAnsi="Times New Roman" w:cs="Times New Roman"/>
              </w:rPr>
              <w:t xml:space="preserve">SAFU ex-ante provjerava </w:t>
            </w:r>
            <w:r w:rsidRPr="00D61F56">
              <w:rPr>
                <w:rFonts w:ascii="Times New Roman" w:eastAsia="Calibri" w:hAnsi="Times New Roman" w:cs="Times New Roman"/>
                <w:b/>
              </w:rPr>
              <w:t>dvije nabave</w:t>
            </w:r>
            <w:r w:rsidRPr="0072532C">
              <w:rPr>
                <w:rFonts w:ascii="Times New Roman" w:eastAsia="Calibri" w:hAnsi="Times New Roman" w:cs="Times New Roman"/>
              </w:rPr>
              <w:t xml:space="preserve"> koje primjenom metodologije</w:t>
            </w:r>
            <w:r>
              <w:rPr>
                <w:rFonts w:ascii="Times New Roman" w:eastAsia="Calibri" w:hAnsi="Times New Roman" w:cs="Times New Roman"/>
              </w:rPr>
              <w:t xml:space="preserve"> iz točke 2.1 </w:t>
            </w:r>
            <w:r w:rsidRPr="0072532C">
              <w:rPr>
                <w:rFonts w:ascii="Times New Roman" w:eastAsia="Calibri" w:hAnsi="Times New Roman" w:cs="Times New Roman"/>
              </w:rPr>
              <w:t xml:space="preserve">ostvare </w:t>
            </w:r>
            <w:r w:rsidRPr="00D61F56">
              <w:rPr>
                <w:rFonts w:ascii="Times New Roman" w:eastAsia="Calibri" w:hAnsi="Times New Roman" w:cs="Times New Roman"/>
                <w:b/>
              </w:rPr>
              <w:t>najviše</w:t>
            </w:r>
            <w:r w:rsidRPr="0072532C">
              <w:rPr>
                <w:rFonts w:ascii="Times New Roman" w:eastAsia="Calibri" w:hAnsi="Times New Roman" w:cs="Times New Roman"/>
              </w:rPr>
              <w:t xml:space="preserve"> bodova</w:t>
            </w:r>
            <w:r>
              <w:rPr>
                <w:rFonts w:ascii="Times New Roman" w:eastAsia="Calibri" w:hAnsi="Times New Roman" w:cs="Times New Roman"/>
              </w:rPr>
              <w:t xml:space="preserve"> </w:t>
            </w:r>
          </w:p>
        </w:tc>
      </w:tr>
      <w:tr w:rsidR="00C83B9B" w:rsidRPr="00A809F5" w14:paraId="138AE419" w14:textId="77777777" w:rsidTr="00D61F56">
        <w:tc>
          <w:tcPr>
            <w:tcW w:w="486" w:type="dxa"/>
            <w:vAlign w:val="center"/>
          </w:tcPr>
          <w:p w14:paraId="6716C08D" w14:textId="0DBAA409" w:rsidR="00FE053F" w:rsidRPr="00D61F56" w:rsidRDefault="00A809F5" w:rsidP="00EA5EF0">
            <w:pPr>
              <w:jc w:val="both"/>
              <w:rPr>
                <w:rFonts w:ascii="Times New Roman" w:eastAsia="Calibri" w:hAnsi="Times New Roman" w:cs="Times New Roman"/>
              </w:rPr>
            </w:pPr>
            <w:r w:rsidRPr="00D61F56">
              <w:rPr>
                <w:rFonts w:ascii="Times New Roman" w:eastAsia="Calibri" w:hAnsi="Times New Roman" w:cs="Times New Roman"/>
              </w:rPr>
              <w:t>5.</w:t>
            </w:r>
          </w:p>
        </w:tc>
        <w:tc>
          <w:tcPr>
            <w:tcW w:w="3715" w:type="dxa"/>
            <w:vAlign w:val="center"/>
          </w:tcPr>
          <w:p w14:paraId="16B060DF" w14:textId="75A7443E" w:rsidR="001A4A23" w:rsidRDefault="001A4A23" w:rsidP="001A4A23">
            <w:pPr>
              <w:jc w:val="both"/>
              <w:rPr>
                <w:rFonts w:ascii="Times New Roman" w:eastAsia="Calibri" w:hAnsi="Times New Roman" w:cs="Times New Roman"/>
              </w:rPr>
            </w:pPr>
            <w:r w:rsidRPr="006B24CC">
              <w:rPr>
                <w:rFonts w:ascii="Times New Roman" w:eastAsia="Calibri" w:hAnsi="Times New Roman" w:cs="Times New Roman"/>
              </w:rPr>
              <w:t xml:space="preserve">Nabave </w:t>
            </w:r>
            <w:r>
              <w:rPr>
                <w:rFonts w:ascii="Times New Roman" w:eastAsia="Calibri" w:hAnsi="Times New Roman" w:cs="Times New Roman"/>
              </w:rPr>
              <w:t>PV</w:t>
            </w:r>
            <w:r w:rsidRPr="006B24CC">
              <w:rPr>
                <w:rFonts w:ascii="Times New Roman" w:eastAsia="Calibri" w:hAnsi="Times New Roman" w:cs="Times New Roman"/>
              </w:rPr>
              <w:t xml:space="preserve"> </w:t>
            </w:r>
            <w:r>
              <w:rPr>
                <w:rFonts w:ascii="Times New Roman" w:eastAsia="Calibri" w:hAnsi="Times New Roman" w:cs="Times New Roman"/>
              </w:rPr>
              <w:t xml:space="preserve">u iznosu </w:t>
            </w:r>
          </w:p>
          <w:p w14:paraId="07810FE0" w14:textId="0E706DBF" w:rsidR="001A4A23" w:rsidRDefault="001A4A23" w:rsidP="001A4A23">
            <w:pPr>
              <w:jc w:val="both"/>
              <w:rPr>
                <w:rFonts w:ascii="Times New Roman" w:eastAsia="Calibri" w:hAnsi="Times New Roman" w:cs="Times New Roman"/>
              </w:rPr>
            </w:pPr>
            <w:r>
              <w:rPr>
                <w:rFonts w:ascii="Times New Roman" w:eastAsia="Calibri" w:hAnsi="Times New Roman" w:cs="Times New Roman"/>
              </w:rPr>
              <w:t>- 25 mil</w:t>
            </w:r>
            <w:r w:rsidR="00BF0DB3">
              <w:rPr>
                <w:rFonts w:ascii="Times New Roman" w:eastAsia="Calibri" w:hAnsi="Times New Roman" w:cs="Times New Roman"/>
              </w:rPr>
              <w:t>ijuna</w:t>
            </w:r>
            <w:r w:rsidRPr="006B24CC">
              <w:rPr>
                <w:rFonts w:ascii="Times New Roman" w:eastAsia="Calibri" w:hAnsi="Times New Roman" w:cs="Times New Roman"/>
              </w:rPr>
              <w:t xml:space="preserve"> kuna</w:t>
            </w:r>
            <w:r w:rsidR="008D57CB">
              <w:rPr>
                <w:rFonts w:ascii="Times New Roman" w:eastAsia="Calibri" w:hAnsi="Times New Roman" w:cs="Times New Roman"/>
              </w:rPr>
              <w:t xml:space="preserve"> i više</w:t>
            </w:r>
            <w:r w:rsidRPr="006B24CC">
              <w:rPr>
                <w:rFonts w:ascii="Times New Roman" w:eastAsia="Calibri" w:hAnsi="Times New Roman" w:cs="Times New Roman"/>
              </w:rPr>
              <w:t xml:space="preserve"> za robe i usluge </w:t>
            </w:r>
          </w:p>
          <w:p w14:paraId="06FCB2D4" w14:textId="0A2EE62C" w:rsidR="00FE053F" w:rsidRDefault="001A4A23">
            <w:pPr>
              <w:jc w:val="both"/>
              <w:rPr>
                <w:rFonts w:ascii="Times New Roman" w:eastAsia="Calibri" w:hAnsi="Times New Roman" w:cs="Times New Roman"/>
              </w:rPr>
            </w:pPr>
            <w:r>
              <w:rPr>
                <w:rFonts w:ascii="Times New Roman" w:eastAsia="Calibri" w:hAnsi="Times New Roman" w:cs="Times New Roman"/>
              </w:rPr>
              <w:t>- 100 mil</w:t>
            </w:r>
            <w:r w:rsidR="00BF0DB3">
              <w:rPr>
                <w:rFonts w:ascii="Times New Roman" w:eastAsia="Calibri" w:hAnsi="Times New Roman" w:cs="Times New Roman"/>
              </w:rPr>
              <w:t>ijuna</w:t>
            </w:r>
            <w:r w:rsidRPr="006B24CC">
              <w:rPr>
                <w:rFonts w:ascii="Times New Roman" w:eastAsia="Calibri" w:hAnsi="Times New Roman" w:cs="Times New Roman"/>
              </w:rPr>
              <w:t xml:space="preserve"> kuna</w:t>
            </w:r>
            <w:r w:rsidR="008D57CB">
              <w:rPr>
                <w:rFonts w:ascii="Times New Roman" w:eastAsia="Calibri" w:hAnsi="Times New Roman" w:cs="Times New Roman"/>
              </w:rPr>
              <w:t xml:space="preserve"> i više</w:t>
            </w:r>
            <w:r w:rsidRPr="006B24CC">
              <w:rPr>
                <w:rFonts w:ascii="Times New Roman" w:eastAsia="Calibri" w:hAnsi="Times New Roman" w:cs="Times New Roman"/>
              </w:rPr>
              <w:t xml:space="preserve"> za radove</w:t>
            </w:r>
          </w:p>
          <w:p w14:paraId="276515FB" w14:textId="77777777" w:rsidR="0007519F" w:rsidRDefault="0007519F">
            <w:pPr>
              <w:jc w:val="both"/>
              <w:rPr>
                <w:rFonts w:ascii="Times New Roman" w:eastAsia="Calibri" w:hAnsi="Times New Roman" w:cs="Times New Roman"/>
              </w:rPr>
            </w:pPr>
          </w:p>
          <w:p w14:paraId="6EE5D91B" w14:textId="4D2B0659" w:rsidR="0007519F" w:rsidRPr="00D61F56" w:rsidRDefault="0007519F">
            <w:pPr>
              <w:jc w:val="both"/>
              <w:rPr>
                <w:rFonts w:ascii="Times New Roman" w:eastAsia="Calibri" w:hAnsi="Times New Roman" w:cs="Times New Roman"/>
                <w:b/>
              </w:rPr>
            </w:pPr>
            <w:r w:rsidRPr="00D61F56">
              <w:rPr>
                <w:rFonts w:ascii="Times New Roman" w:eastAsia="Calibri" w:hAnsi="Times New Roman" w:cs="Times New Roman"/>
                <w:b/>
              </w:rPr>
              <w:t>Vidjeti točku 4.2 niže u tekstu</w:t>
            </w:r>
          </w:p>
        </w:tc>
        <w:tc>
          <w:tcPr>
            <w:tcW w:w="1464" w:type="dxa"/>
            <w:vAlign w:val="center"/>
          </w:tcPr>
          <w:p w14:paraId="02C6D2A1" w14:textId="2CF206D2" w:rsidR="00FE053F" w:rsidRPr="00D61F56" w:rsidRDefault="008D57CB" w:rsidP="00D61F56">
            <w:pPr>
              <w:jc w:val="center"/>
              <w:rPr>
                <w:rFonts w:ascii="Times New Roman" w:eastAsia="Calibri" w:hAnsi="Times New Roman" w:cs="Times New Roman"/>
              </w:rPr>
            </w:pPr>
            <w:r>
              <w:rPr>
                <w:rFonts w:ascii="Times New Roman" w:eastAsia="Calibri" w:hAnsi="Times New Roman" w:cs="Times New Roman"/>
              </w:rPr>
              <w:t>n/p – ulaze sve nabave određene pragom</w:t>
            </w:r>
          </w:p>
        </w:tc>
        <w:tc>
          <w:tcPr>
            <w:tcW w:w="1701" w:type="dxa"/>
            <w:vAlign w:val="center"/>
          </w:tcPr>
          <w:p w14:paraId="1C97BEFD" w14:textId="456DF7CF" w:rsidR="00FE053F" w:rsidRPr="00D61F56" w:rsidRDefault="001A4A23" w:rsidP="00D61F56">
            <w:pPr>
              <w:jc w:val="center"/>
              <w:rPr>
                <w:rFonts w:ascii="Times New Roman" w:eastAsia="Calibri" w:hAnsi="Times New Roman" w:cs="Times New Roman"/>
              </w:rPr>
            </w:pPr>
            <w:r>
              <w:rPr>
                <w:rFonts w:ascii="Times New Roman" w:eastAsia="Calibri" w:hAnsi="Times New Roman" w:cs="Times New Roman"/>
              </w:rPr>
              <w:t>Ne</w:t>
            </w:r>
            <w:r w:rsidR="0082128C">
              <w:rPr>
                <w:rFonts w:ascii="Times New Roman" w:eastAsia="Calibri" w:hAnsi="Times New Roman" w:cs="Times New Roman"/>
              </w:rPr>
              <w:t>**</w:t>
            </w:r>
          </w:p>
        </w:tc>
        <w:tc>
          <w:tcPr>
            <w:tcW w:w="1696" w:type="dxa"/>
            <w:vAlign w:val="center"/>
          </w:tcPr>
          <w:p w14:paraId="208B1AAB" w14:textId="5F10CC67" w:rsidR="00FE053F" w:rsidRPr="00D61F56" w:rsidRDefault="001A4A23" w:rsidP="00D61F56">
            <w:pPr>
              <w:jc w:val="center"/>
              <w:rPr>
                <w:rFonts w:ascii="Times New Roman" w:eastAsia="Calibri" w:hAnsi="Times New Roman" w:cs="Times New Roman"/>
              </w:rPr>
            </w:pPr>
            <w:r>
              <w:rPr>
                <w:rFonts w:ascii="Times New Roman" w:eastAsia="Calibri" w:hAnsi="Times New Roman" w:cs="Times New Roman"/>
              </w:rPr>
              <w:t>Da</w:t>
            </w:r>
          </w:p>
        </w:tc>
      </w:tr>
    </w:tbl>
    <w:p w14:paraId="755D1328" w14:textId="7923B026" w:rsidR="00FE053F" w:rsidRPr="00D61F56" w:rsidRDefault="006B24CC" w:rsidP="00EA5EF0">
      <w:pPr>
        <w:jc w:val="both"/>
        <w:rPr>
          <w:rFonts w:ascii="Times New Roman" w:eastAsia="Calibri" w:hAnsi="Times New Roman" w:cs="Times New Roman"/>
          <w:sz w:val="24"/>
          <w:szCs w:val="24"/>
        </w:rPr>
      </w:pPr>
      <w:r w:rsidRPr="00D61F56">
        <w:rPr>
          <w:rFonts w:ascii="Times New Roman" w:eastAsia="Calibri" w:hAnsi="Times New Roman" w:cs="Times New Roman"/>
          <w:sz w:val="24"/>
          <w:szCs w:val="24"/>
        </w:rPr>
        <w:t>* PV = procijenjena vrijednost</w:t>
      </w:r>
    </w:p>
    <w:p w14:paraId="26C88F40" w14:textId="23B4AD24" w:rsidR="0082128C" w:rsidRPr="00D61F56" w:rsidRDefault="0082128C">
      <w:pPr>
        <w:jc w:val="both"/>
        <w:rPr>
          <w:rFonts w:ascii="Times New Roman" w:eastAsia="Calibri" w:hAnsi="Times New Roman" w:cs="Times New Roman"/>
          <w:sz w:val="24"/>
          <w:szCs w:val="24"/>
        </w:rPr>
      </w:pPr>
      <w:r w:rsidRPr="00D61F56">
        <w:rPr>
          <w:rFonts w:ascii="Times New Roman" w:eastAsia="Calibri" w:hAnsi="Times New Roman" w:cs="Times New Roman"/>
          <w:sz w:val="24"/>
          <w:szCs w:val="24"/>
        </w:rPr>
        <w:t xml:space="preserve">** </w:t>
      </w:r>
      <w:r>
        <w:rPr>
          <w:rFonts w:ascii="Times New Roman" w:eastAsia="Calibri" w:hAnsi="Times New Roman" w:cs="Times New Roman"/>
          <w:sz w:val="24"/>
          <w:szCs w:val="24"/>
        </w:rPr>
        <w:t>nabave ove vrijednosti se automatski šalju u SAFU na pregled</w:t>
      </w:r>
      <w:r w:rsidR="0007519F">
        <w:rPr>
          <w:rFonts w:ascii="Times New Roman" w:eastAsia="Calibri" w:hAnsi="Times New Roman" w:cs="Times New Roman"/>
          <w:sz w:val="24"/>
          <w:szCs w:val="24"/>
        </w:rPr>
        <w:t>, međutim</w:t>
      </w:r>
      <w:r w:rsidR="0007519F" w:rsidRPr="0007519F">
        <w:rPr>
          <w:rFonts w:ascii="EYInterstate Light" w:hAnsi="EYInterstate Light"/>
          <w:sz w:val="20"/>
          <w:szCs w:val="20"/>
        </w:rPr>
        <w:t xml:space="preserve"> </w:t>
      </w:r>
      <w:r w:rsidR="0007519F" w:rsidRPr="0007519F">
        <w:rPr>
          <w:rFonts w:ascii="Times New Roman" w:eastAsia="Calibri" w:hAnsi="Times New Roman" w:cs="Times New Roman"/>
          <w:sz w:val="24"/>
          <w:szCs w:val="24"/>
        </w:rPr>
        <w:t>SAFU u situacijama kada je to neophodno, može relevantne aktivnosti obavljati uz pomoć stručnih osoba iz nadležnog PT-a 2</w:t>
      </w:r>
      <w:r w:rsidR="0007519F">
        <w:rPr>
          <w:rFonts w:ascii="Times New Roman" w:eastAsia="Calibri" w:hAnsi="Times New Roman" w:cs="Times New Roman"/>
          <w:sz w:val="24"/>
          <w:szCs w:val="24"/>
        </w:rPr>
        <w:t xml:space="preserve"> (primjerice </w:t>
      </w:r>
      <w:r w:rsidR="00BF0DB3">
        <w:rPr>
          <w:rFonts w:ascii="Times New Roman" w:eastAsia="Calibri" w:hAnsi="Times New Roman" w:cs="Times New Roman"/>
          <w:sz w:val="24"/>
          <w:szCs w:val="24"/>
        </w:rPr>
        <w:t>podrškom u</w:t>
      </w:r>
      <w:r w:rsidR="0007519F">
        <w:rPr>
          <w:rFonts w:ascii="Times New Roman" w:eastAsia="Calibri" w:hAnsi="Times New Roman" w:cs="Times New Roman"/>
          <w:sz w:val="24"/>
          <w:szCs w:val="24"/>
        </w:rPr>
        <w:t xml:space="preserve"> pregledava</w:t>
      </w:r>
      <w:r w:rsidR="00BF0DB3">
        <w:rPr>
          <w:rFonts w:ascii="Times New Roman" w:eastAsia="Calibri" w:hAnsi="Times New Roman" w:cs="Times New Roman"/>
          <w:sz w:val="24"/>
          <w:szCs w:val="24"/>
        </w:rPr>
        <w:t>nju</w:t>
      </w:r>
      <w:r w:rsidR="0007519F">
        <w:rPr>
          <w:rFonts w:ascii="Times New Roman" w:eastAsia="Calibri" w:hAnsi="Times New Roman" w:cs="Times New Roman"/>
          <w:sz w:val="24"/>
          <w:szCs w:val="24"/>
        </w:rPr>
        <w:t xml:space="preserve"> tehničk</w:t>
      </w:r>
      <w:r w:rsidR="00BF0DB3">
        <w:rPr>
          <w:rFonts w:ascii="Times New Roman" w:eastAsia="Calibri" w:hAnsi="Times New Roman" w:cs="Times New Roman"/>
          <w:sz w:val="24"/>
          <w:szCs w:val="24"/>
        </w:rPr>
        <w:t>ih</w:t>
      </w:r>
      <w:r w:rsidR="0007519F">
        <w:rPr>
          <w:rFonts w:ascii="Times New Roman" w:eastAsia="Calibri" w:hAnsi="Times New Roman" w:cs="Times New Roman"/>
          <w:sz w:val="24"/>
          <w:szCs w:val="24"/>
        </w:rPr>
        <w:t xml:space="preserve"> specifikacij</w:t>
      </w:r>
      <w:r w:rsidR="00BF0DB3">
        <w:rPr>
          <w:rFonts w:ascii="Times New Roman" w:eastAsia="Calibri" w:hAnsi="Times New Roman" w:cs="Times New Roman"/>
          <w:sz w:val="24"/>
          <w:szCs w:val="24"/>
        </w:rPr>
        <w:t>a</w:t>
      </w:r>
      <w:r w:rsidR="0007519F">
        <w:rPr>
          <w:rFonts w:ascii="Times New Roman" w:eastAsia="Calibri" w:hAnsi="Times New Roman" w:cs="Times New Roman"/>
          <w:sz w:val="24"/>
          <w:szCs w:val="24"/>
        </w:rPr>
        <w:t xml:space="preserve"> zbog sektorskih specifičnosti). </w:t>
      </w:r>
      <w:r w:rsidR="0007519F" w:rsidRPr="00D61F56">
        <w:rPr>
          <w:rFonts w:ascii="Times New Roman" w:eastAsia="Calibri" w:hAnsi="Times New Roman" w:cs="Times New Roman"/>
          <w:b/>
          <w:sz w:val="24"/>
          <w:szCs w:val="24"/>
        </w:rPr>
        <w:t>Vidjeti točku 4.3 niže u tekstu</w:t>
      </w:r>
      <w:r w:rsidR="0007519F">
        <w:rPr>
          <w:rFonts w:ascii="Times New Roman" w:eastAsia="Calibri" w:hAnsi="Times New Roman" w:cs="Times New Roman"/>
          <w:sz w:val="24"/>
          <w:szCs w:val="24"/>
        </w:rPr>
        <w:t>.</w:t>
      </w:r>
    </w:p>
    <w:p w14:paraId="59CF8B1E" w14:textId="77777777" w:rsidR="00C5380A" w:rsidRDefault="00C5380A">
      <w:pPr>
        <w:jc w:val="both"/>
        <w:rPr>
          <w:rFonts w:ascii="Times New Roman" w:eastAsia="Calibri" w:hAnsi="Times New Roman" w:cs="Times New Roman"/>
          <w:b/>
          <w:sz w:val="24"/>
          <w:szCs w:val="24"/>
        </w:rPr>
      </w:pPr>
    </w:p>
    <w:p w14:paraId="357A024E" w14:textId="09439398" w:rsidR="0072532C" w:rsidRPr="00D61F56" w:rsidRDefault="0072532C" w:rsidP="00DA13B1">
      <w:pPr>
        <w:pStyle w:val="ListParagraph"/>
        <w:numPr>
          <w:ilvl w:val="1"/>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 xml:space="preserve">Nabave </w:t>
      </w:r>
      <w:r w:rsidR="00DA13B1">
        <w:rPr>
          <w:rFonts w:ascii="Times New Roman" w:eastAsia="Calibri" w:hAnsi="Times New Roman" w:cs="Times New Roman"/>
          <w:b/>
          <w:sz w:val="24"/>
          <w:szCs w:val="24"/>
        </w:rPr>
        <w:t xml:space="preserve">procijenjene vrijednosti </w:t>
      </w:r>
      <w:r w:rsidRPr="00D61F56">
        <w:rPr>
          <w:rFonts w:ascii="Times New Roman" w:eastAsia="Calibri" w:hAnsi="Times New Roman" w:cs="Times New Roman"/>
          <w:b/>
          <w:sz w:val="24"/>
          <w:szCs w:val="24"/>
        </w:rPr>
        <w:t>5 - 25 milijuna kn za robe i usluge i 20 - 100 milijuna kn za radove</w:t>
      </w:r>
    </w:p>
    <w:p w14:paraId="00EC3725" w14:textId="6184ACC6" w:rsidR="003B6FF4" w:rsidRDefault="00DA13B1" w:rsidP="00EA5EF0">
      <w:pPr>
        <w:jc w:val="both"/>
        <w:rPr>
          <w:rFonts w:ascii="Times New Roman" w:eastAsia="Calibri" w:hAnsi="Times New Roman" w:cs="Times New Roman"/>
          <w:sz w:val="24"/>
          <w:szCs w:val="24"/>
        </w:rPr>
      </w:pPr>
      <w:r>
        <w:rPr>
          <w:rFonts w:ascii="Times New Roman" w:eastAsia="Calibri" w:hAnsi="Times New Roman" w:cs="Times New Roman"/>
          <w:sz w:val="24"/>
          <w:szCs w:val="24"/>
        </w:rPr>
        <w:t>N</w:t>
      </w:r>
      <w:r w:rsidR="003B6FF4">
        <w:rPr>
          <w:rFonts w:ascii="Times New Roman" w:eastAsia="Calibri" w:hAnsi="Times New Roman" w:cs="Times New Roman"/>
          <w:sz w:val="24"/>
          <w:szCs w:val="24"/>
        </w:rPr>
        <w:t>a n</w:t>
      </w:r>
      <w:r w:rsidR="0042390F" w:rsidRPr="00D61F56">
        <w:rPr>
          <w:rFonts w:ascii="Times New Roman" w:eastAsia="Calibri" w:hAnsi="Times New Roman" w:cs="Times New Roman"/>
          <w:sz w:val="24"/>
          <w:szCs w:val="24"/>
        </w:rPr>
        <w:t xml:space="preserve">abave procijenjene vrijednosti 5 - 25 milijuna kuna za nabavu robe i usluga, odnosno 20 - 100 milijuna kuna za nabavu radova nadležni </w:t>
      </w:r>
      <w:r w:rsidR="004C6D1E">
        <w:rPr>
          <w:rFonts w:ascii="Times New Roman" w:eastAsia="Calibri" w:hAnsi="Times New Roman" w:cs="Times New Roman"/>
          <w:sz w:val="24"/>
          <w:szCs w:val="24"/>
        </w:rPr>
        <w:t>PT2</w:t>
      </w:r>
      <w:r w:rsidR="0042390F" w:rsidRPr="00D61F56">
        <w:rPr>
          <w:rFonts w:ascii="Times New Roman" w:eastAsia="Calibri" w:hAnsi="Times New Roman" w:cs="Times New Roman"/>
          <w:sz w:val="24"/>
          <w:szCs w:val="24"/>
        </w:rPr>
        <w:t xml:space="preserve"> primjen</w:t>
      </w:r>
      <w:r w:rsidR="003B6FF4">
        <w:rPr>
          <w:rFonts w:ascii="Times New Roman" w:eastAsia="Calibri" w:hAnsi="Times New Roman" w:cs="Times New Roman"/>
          <w:sz w:val="24"/>
          <w:szCs w:val="24"/>
        </w:rPr>
        <w:t>juje</w:t>
      </w:r>
      <w:r w:rsidR="0042390F" w:rsidRPr="00D61F56">
        <w:rPr>
          <w:rFonts w:ascii="Times New Roman" w:eastAsia="Calibri" w:hAnsi="Times New Roman" w:cs="Times New Roman"/>
          <w:sz w:val="24"/>
          <w:szCs w:val="24"/>
        </w:rPr>
        <w:t xml:space="preserve"> metodologiju</w:t>
      </w:r>
      <w:r w:rsidR="003B6FF4">
        <w:rPr>
          <w:rFonts w:ascii="Times New Roman" w:eastAsia="Calibri" w:hAnsi="Times New Roman" w:cs="Times New Roman"/>
          <w:sz w:val="24"/>
          <w:szCs w:val="24"/>
        </w:rPr>
        <w:t xml:space="preserve"> analize rizika</w:t>
      </w:r>
      <w:r w:rsidR="0042390F" w:rsidRPr="00D61F56">
        <w:rPr>
          <w:rFonts w:ascii="Times New Roman" w:eastAsia="Calibri" w:hAnsi="Times New Roman" w:cs="Times New Roman"/>
          <w:sz w:val="24"/>
          <w:szCs w:val="24"/>
        </w:rPr>
        <w:t xml:space="preserve"> iz </w:t>
      </w:r>
      <w:r w:rsidR="0042390F" w:rsidRPr="00DA13B1">
        <w:rPr>
          <w:rFonts w:ascii="Times New Roman" w:eastAsia="Calibri" w:hAnsi="Times New Roman" w:cs="Times New Roman"/>
          <w:b/>
          <w:sz w:val="24"/>
          <w:szCs w:val="24"/>
        </w:rPr>
        <w:t>točke 2.1</w:t>
      </w:r>
      <w:r w:rsidR="0042390F" w:rsidRPr="00D61F56">
        <w:rPr>
          <w:rFonts w:ascii="Times New Roman" w:eastAsia="Calibri" w:hAnsi="Times New Roman" w:cs="Times New Roman"/>
          <w:sz w:val="24"/>
          <w:szCs w:val="24"/>
        </w:rPr>
        <w:t xml:space="preserve"> </w:t>
      </w:r>
      <w:r w:rsidR="003B6FF4">
        <w:rPr>
          <w:rFonts w:ascii="Times New Roman" w:eastAsia="Calibri" w:hAnsi="Times New Roman" w:cs="Times New Roman"/>
          <w:sz w:val="24"/>
          <w:szCs w:val="24"/>
        </w:rPr>
        <w:t>kako bi dobio popis nabava za provjeru.</w:t>
      </w:r>
    </w:p>
    <w:p w14:paraId="32A7BFE7" w14:textId="5F94A005" w:rsidR="001A4A23" w:rsidRDefault="003B6FF4" w:rsidP="00EA5EF0">
      <w:pPr>
        <w:jc w:val="both"/>
        <w:rPr>
          <w:rFonts w:ascii="Times New Roman" w:eastAsia="Calibri" w:hAnsi="Times New Roman" w:cs="Times New Roman"/>
          <w:sz w:val="24"/>
          <w:szCs w:val="24"/>
        </w:rPr>
      </w:pPr>
      <w:r>
        <w:rPr>
          <w:rFonts w:ascii="Times New Roman" w:eastAsia="Calibri" w:hAnsi="Times New Roman" w:cs="Times New Roman"/>
          <w:b/>
          <w:sz w:val="24"/>
          <w:szCs w:val="24"/>
        </w:rPr>
        <w:t>D</w:t>
      </w:r>
      <w:r w:rsidR="00EA5EF0" w:rsidRPr="00D61F56">
        <w:rPr>
          <w:rFonts w:ascii="Times New Roman" w:eastAsia="Calibri" w:hAnsi="Times New Roman" w:cs="Times New Roman"/>
          <w:b/>
          <w:sz w:val="24"/>
          <w:szCs w:val="24"/>
        </w:rPr>
        <w:t>vije nabave koje primjenom metodologije</w:t>
      </w:r>
      <w:r w:rsidR="001A4A23">
        <w:rPr>
          <w:rFonts w:ascii="Times New Roman" w:eastAsia="Calibri" w:hAnsi="Times New Roman" w:cs="Times New Roman"/>
          <w:b/>
          <w:sz w:val="24"/>
          <w:szCs w:val="24"/>
        </w:rPr>
        <w:t xml:space="preserve"> iz točke 2.1</w:t>
      </w:r>
      <w:r w:rsidR="00EA5EF0" w:rsidRPr="00D61F56">
        <w:rPr>
          <w:rFonts w:ascii="Times New Roman" w:eastAsia="Calibri" w:hAnsi="Times New Roman" w:cs="Times New Roman"/>
          <w:b/>
          <w:sz w:val="24"/>
          <w:szCs w:val="24"/>
        </w:rPr>
        <w:t xml:space="preserve"> ostvare najviše bodova</w:t>
      </w:r>
      <w:r>
        <w:rPr>
          <w:rFonts w:ascii="Times New Roman" w:eastAsia="Calibri" w:hAnsi="Times New Roman" w:cs="Times New Roman"/>
          <w:b/>
          <w:sz w:val="24"/>
          <w:szCs w:val="24"/>
        </w:rPr>
        <w:t xml:space="preserve"> PT2 šalje na provjeru u SAFU</w:t>
      </w:r>
      <w:r w:rsidR="00EA5EF0">
        <w:rPr>
          <w:rFonts w:ascii="Times New Roman" w:eastAsia="Calibri" w:hAnsi="Times New Roman" w:cs="Times New Roman"/>
          <w:sz w:val="24"/>
          <w:szCs w:val="24"/>
        </w:rPr>
        <w:t xml:space="preserve">. </w:t>
      </w:r>
    </w:p>
    <w:p w14:paraId="220FC116" w14:textId="57E9B85E" w:rsidR="001A4A23" w:rsidRDefault="00EA5EF0" w:rsidP="00EA5EF0">
      <w:pPr>
        <w:jc w:val="both"/>
        <w:rPr>
          <w:rFonts w:ascii="Times New Roman" w:eastAsia="Calibri" w:hAnsi="Times New Roman" w:cs="Times New Roman"/>
          <w:sz w:val="24"/>
          <w:szCs w:val="24"/>
        </w:rPr>
      </w:pPr>
      <w:r>
        <w:rPr>
          <w:rFonts w:ascii="Times New Roman" w:eastAsia="Calibri" w:hAnsi="Times New Roman" w:cs="Times New Roman"/>
          <w:sz w:val="24"/>
          <w:szCs w:val="24"/>
        </w:rPr>
        <w:t>Ukoliko više od dvije nabave s najvišim tako izračun</w:t>
      </w:r>
      <w:r w:rsidR="00DA13B1">
        <w:rPr>
          <w:rFonts w:ascii="Times New Roman" w:eastAsia="Calibri" w:hAnsi="Times New Roman" w:cs="Times New Roman"/>
          <w:sz w:val="24"/>
          <w:szCs w:val="24"/>
        </w:rPr>
        <w:t xml:space="preserve">atim brojem bodova, imaju isti </w:t>
      </w:r>
      <w:r>
        <w:rPr>
          <w:rFonts w:ascii="Times New Roman" w:eastAsia="Calibri" w:hAnsi="Times New Roman" w:cs="Times New Roman"/>
          <w:sz w:val="24"/>
          <w:szCs w:val="24"/>
        </w:rPr>
        <w:t xml:space="preserve">broj bodova, u </w:t>
      </w:r>
      <w:r w:rsidRPr="00A976A7">
        <w:rPr>
          <w:rFonts w:ascii="Times New Roman" w:eastAsia="Calibri" w:hAnsi="Times New Roman" w:cs="Times New Roman"/>
          <w:sz w:val="24"/>
          <w:szCs w:val="24"/>
        </w:rPr>
        <w:t>uzorak za provjeru u SAFU uzimaju se dvije nabave</w:t>
      </w:r>
      <w:r>
        <w:rPr>
          <w:rFonts w:ascii="Times New Roman" w:eastAsia="Calibri" w:hAnsi="Times New Roman" w:cs="Times New Roman"/>
          <w:sz w:val="24"/>
          <w:szCs w:val="24"/>
        </w:rPr>
        <w:t xml:space="preserve"> </w:t>
      </w:r>
      <w:r w:rsidRPr="00A976A7">
        <w:rPr>
          <w:rFonts w:ascii="Times New Roman" w:eastAsia="Calibri" w:hAnsi="Times New Roman" w:cs="Times New Roman"/>
          <w:sz w:val="24"/>
          <w:szCs w:val="24"/>
        </w:rPr>
        <w:t xml:space="preserve">s najvišom procijenjenom vrijednošću. </w:t>
      </w:r>
    </w:p>
    <w:p w14:paraId="4A2EDEEA" w14:textId="4F4AA105" w:rsidR="00EA5EF0" w:rsidRDefault="00EA5EF0" w:rsidP="00EA5EF0">
      <w:pPr>
        <w:jc w:val="both"/>
        <w:rPr>
          <w:rFonts w:ascii="Times New Roman" w:eastAsia="Calibri" w:hAnsi="Times New Roman" w:cs="Times New Roman"/>
          <w:sz w:val="24"/>
          <w:szCs w:val="24"/>
        </w:rPr>
      </w:pPr>
      <w:r w:rsidRPr="00D61F56">
        <w:rPr>
          <w:rFonts w:ascii="Times New Roman" w:eastAsia="Calibri" w:hAnsi="Times New Roman" w:cs="Times New Roman"/>
          <w:b/>
          <w:sz w:val="24"/>
          <w:szCs w:val="24"/>
        </w:rPr>
        <w:t xml:space="preserve">Preostale nabave </w:t>
      </w:r>
      <w:r w:rsidR="003B6FF4">
        <w:rPr>
          <w:rFonts w:ascii="Times New Roman" w:eastAsia="Calibri" w:hAnsi="Times New Roman" w:cs="Times New Roman"/>
          <w:b/>
          <w:sz w:val="24"/>
          <w:szCs w:val="24"/>
        </w:rPr>
        <w:t>s popisa za provjeru dobiven</w:t>
      </w:r>
      <w:r w:rsidR="00DA13B1">
        <w:rPr>
          <w:rFonts w:ascii="Times New Roman" w:eastAsia="Calibri" w:hAnsi="Times New Roman" w:cs="Times New Roman"/>
          <w:b/>
          <w:sz w:val="24"/>
          <w:szCs w:val="24"/>
        </w:rPr>
        <w:t>og</w:t>
      </w:r>
      <w:r w:rsidR="003B6FF4">
        <w:rPr>
          <w:rFonts w:ascii="Times New Roman" w:eastAsia="Calibri" w:hAnsi="Times New Roman" w:cs="Times New Roman"/>
          <w:b/>
          <w:sz w:val="24"/>
          <w:szCs w:val="24"/>
        </w:rPr>
        <w:t xml:space="preserve"> analizom rizika</w:t>
      </w:r>
      <w:r w:rsidR="00127CE1">
        <w:rPr>
          <w:rFonts w:ascii="Times New Roman" w:eastAsia="Calibri" w:hAnsi="Times New Roman" w:cs="Times New Roman"/>
          <w:b/>
          <w:sz w:val="24"/>
          <w:szCs w:val="24"/>
        </w:rPr>
        <w:t xml:space="preserve"> te ispunjavanjem Priloga 20 ili 21</w:t>
      </w:r>
      <w:r w:rsidRPr="00D61F56">
        <w:rPr>
          <w:rFonts w:ascii="Times New Roman" w:eastAsia="Calibri" w:hAnsi="Times New Roman" w:cs="Times New Roman"/>
          <w:b/>
          <w:sz w:val="24"/>
          <w:szCs w:val="24"/>
        </w:rPr>
        <w:t xml:space="preserve"> provjerava nadležni </w:t>
      </w:r>
      <w:r w:rsidR="004C6D1E">
        <w:rPr>
          <w:rFonts w:ascii="Times New Roman" w:eastAsia="Calibri" w:hAnsi="Times New Roman" w:cs="Times New Roman"/>
          <w:b/>
          <w:sz w:val="24"/>
          <w:szCs w:val="24"/>
        </w:rPr>
        <w:t>PT2</w:t>
      </w:r>
      <w:r w:rsidR="00DA13B1">
        <w:rPr>
          <w:rFonts w:ascii="Times New Roman" w:eastAsia="Calibri" w:hAnsi="Times New Roman" w:cs="Times New Roman"/>
          <w:b/>
          <w:sz w:val="24"/>
          <w:szCs w:val="24"/>
        </w:rPr>
        <w:t>,</w:t>
      </w:r>
      <w:r>
        <w:rPr>
          <w:rFonts w:ascii="Times New Roman" w:eastAsia="Calibri" w:hAnsi="Times New Roman" w:cs="Times New Roman"/>
          <w:sz w:val="24"/>
          <w:szCs w:val="24"/>
        </w:rPr>
        <w:t xml:space="preserve"> sukladno propisanoj metodologiji.</w:t>
      </w:r>
    </w:p>
    <w:p w14:paraId="0A84698B" w14:textId="77777777" w:rsidR="001A4A23" w:rsidRDefault="001A4A23" w:rsidP="00EA5EF0">
      <w:pPr>
        <w:jc w:val="both"/>
        <w:rPr>
          <w:rFonts w:ascii="Times New Roman" w:eastAsia="Calibri" w:hAnsi="Times New Roman" w:cs="Times New Roman"/>
          <w:sz w:val="24"/>
          <w:szCs w:val="24"/>
        </w:rPr>
      </w:pPr>
    </w:p>
    <w:p w14:paraId="14D1AC3A" w14:textId="70F4AEF0" w:rsidR="001A4A23" w:rsidRPr="00D61F56" w:rsidRDefault="001A4A23" w:rsidP="00DA13B1">
      <w:pPr>
        <w:pStyle w:val="ListParagraph"/>
        <w:numPr>
          <w:ilvl w:val="1"/>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 xml:space="preserve">Nabave </w:t>
      </w:r>
      <w:r w:rsidR="00DA13B1">
        <w:rPr>
          <w:rFonts w:ascii="Times New Roman" w:eastAsia="Calibri" w:hAnsi="Times New Roman" w:cs="Times New Roman"/>
          <w:b/>
          <w:sz w:val="24"/>
          <w:szCs w:val="24"/>
        </w:rPr>
        <w:t>procijenjene vrijednosti iznad</w:t>
      </w:r>
      <w:r w:rsidRPr="00D61F56">
        <w:rPr>
          <w:rFonts w:ascii="Times New Roman" w:eastAsia="Calibri" w:hAnsi="Times New Roman" w:cs="Times New Roman"/>
          <w:b/>
          <w:sz w:val="24"/>
          <w:szCs w:val="24"/>
        </w:rPr>
        <w:t xml:space="preserve"> 25 milijuna kn za robe i usluge i 100 milijuna kn za radove</w:t>
      </w:r>
    </w:p>
    <w:p w14:paraId="37C5B5F6" w14:textId="70FEA9A6" w:rsidR="0007519F" w:rsidRPr="0032477E" w:rsidRDefault="0007519F" w:rsidP="0007519F">
      <w:pPr>
        <w:jc w:val="both"/>
        <w:rPr>
          <w:rFonts w:ascii="Times New Roman" w:eastAsia="Calibri" w:hAnsi="Times New Roman" w:cs="Times New Roman"/>
          <w:sz w:val="24"/>
          <w:szCs w:val="24"/>
        </w:rPr>
      </w:pPr>
      <w:r>
        <w:rPr>
          <w:rFonts w:ascii="Times New Roman" w:eastAsia="Calibri" w:hAnsi="Times New Roman" w:cs="Times New Roman"/>
          <w:sz w:val="24"/>
          <w:szCs w:val="24"/>
        </w:rPr>
        <w:t>Sve n</w:t>
      </w:r>
      <w:r w:rsidR="00EA5EF0">
        <w:rPr>
          <w:rFonts w:ascii="Times New Roman" w:eastAsia="Calibri" w:hAnsi="Times New Roman" w:cs="Times New Roman"/>
          <w:sz w:val="24"/>
          <w:szCs w:val="24"/>
        </w:rPr>
        <w:t xml:space="preserve">abave procijenjene vrijednosti iznad 100 milijuna kuna kada je riječ o radovima, te 25 milijuna kuna kada je riječ o robi i uslugama, obvezno </w:t>
      </w:r>
      <w:r w:rsidR="00DA13B1">
        <w:rPr>
          <w:rFonts w:ascii="Times New Roman" w:eastAsia="Calibri" w:hAnsi="Times New Roman" w:cs="Times New Roman"/>
          <w:sz w:val="24"/>
          <w:szCs w:val="24"/>
        </w:rPr>
        <w:t xml:space="preserve">ex -ante </w:t>
      </w:r>
      <w:r w:rsidR="001A4A23">
        <w:rPr>
          <w:rFonts w:ascii="Times New Roman" w:eastAsia="Calibri" w:hAnsi="Times New Roman" w:cs="Times New Roman"/>
          <w:sz w:val="24"/>
          <w:szCs w:val="24"/>
        </w:rPr>
        <w:t xml:space="preserve">provjerava </w:t>
      </w:r>
      <w:r w:rsidR="00EA5EF0">
        <w:rPr>
          <w:rFonts w:ascii="Times New Roman" w:eastAsia="Calibri" w:hAnsi="Times New Roman" w:cs="Times New Roman"/>
          <w:sz w:val="24"/>
          <w:szCs w:val="24"/>
        </w:rPr>
        <w:t>SAFU.</w:t>
      </w:r>
      <w:r w:rsidR="00D362C8">
        <w:rPr>
          <w:rFonts w:ascii="Times New Roman" w:eastAsia="Calibri" w:hAnsi="Times New Roman" w:cs="Times New Roman"/>
          <w:sz w:val="24"/>
          <w:szCs w:val="24"/>
        </w:rPr>
        <w:t xml:space="preserve"> </w:t>
      </w:r>
    </w:p>
    <w:p w14:paraId="0135414D" w14:textId="4CE89508" w:rsidR="0007519F" w:rsidRPr="0032477E" w:rsidRDefault="0007519F" w:rsidP="0032477E">
      <w:pPr>
        <w:pStyle w:val="ListParagraph"/>
        <w:numPr>
          <w:ilvl w:val="1"/>
          <w:numId w:val="1"/>
        </w:numPr>
        <w:jc w:val="both"/>
        <w:rPr>
          <w:rFonts w:ascii="Times New Roman" w:eastAsia="Calibri" w:hAnsi="Times New Roman" w:cs="Times New Roman"/>
          <w:b/>
          <w:sz w:val="24"/>
          <w:szCs w:val="24"/>
        </w:rPr>
      </w:pPr>
      <w:r w:rsidRPr="0032477E">
        <w:rPr>
          <w:rFonts w:ascii="Times New Roman" w:eastAsia="Calibri" w:hAnsi="Times New Roman" w:cs="Times New Roman"/>
          <w:b/>
          <w:sz w:val="24"/>
          <w:szCs w:val="24"/>
        </w:rPr>
        <w:lastRenderedPageBreak/>
        <w:t>Postupci kada je u ex-ante provjeru uključen SAFU</w:t>
      </w:r>
    </w:p>
    <w:p w14:paraId="7316DFD7" w14:textId="49E31BF6" w:rsidR="0007519F" w:rsidRDefault="0032477E" w:rsidP="0007519F">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07519F">
        <w:rPr>
          <w:rFonts w:ascii="Times New Roman" w:eastAsia="Calibri" w:hAnsi="Times New Roman" w:cs="Times New Roman"/>
          <w:sz w:val="24"/>
          <w:szCs w:val="24"/>
        </w:rPr>
        <w:t xml:space="preserve">rilikom ex-ante provjera nabava koje, u skladu s odredbama Uredbe provodi SAFU, SAFU u situacijama kada je to neophodno, može relevantne aktivnosti obavljati uz pomoć stručnih osoba iz nadležnog PT-a 2. Navedene osobe tada u postupku ex ante provjera nabava sudjeluju na način da djeluju kao osobe koje obavljaju ex-ante provjere (ispunjavajući i potpisujući relevantne obrasce, dajući odgovarajuća pojašnjenja i obrazloženja), dok SAFU zadržava odgovornost za pravilnost provedenog postupka. Također, te osobe ne smiju biti osobe koje u nadležnom PT-u 2 obavljaju aktivnosti vezane uz ex post provjere istih nabava. </w:t>
      </w:r>
    </w:p>
    <w:p w14:paraId="4F963623" w14:textId="50F582B1" w:rsidR="0007519F" w:rsidRDefault="00D013E3" w:rsidP="0007519F">
      <w:pPr>
        <w:jc w:val="both"/>
        <w:rPr>
          <w:rFonts w:ascii="Times New Roman" w:eastAsia="Calibri" w:hAnsi="Times New Roman" w:cs="Times New Roman"/>
          <w:sz w:val="24"/>
          <w:szCs w:val="24"/>
        </w:rPr>
      </w:pPr>
      <w:r>
        <w:rPr>
          <w:rFonts w:ascii="Times New Roman" w:eastAsia="Calibri" w:hAnsi="Times New Roman" w:cs="Times New Roman"/>
          <w:sz w:val="24"/>
          <w:szCs w:val="24"/>
        </w:rPr>
        <w:t>N</w:t>
      </w:r>
      <w:r w:rsidR="0007519F">
        <w:rPr>
          <w:rFonts w:ascii="Times New Roman" w:eastAsia="Calibri" w:hAnsi="Times New Roman" w:cs="Times New Roman"/>
          <w:sz w:val="24"/>
          <w:szCs w:val="24"/>
        </w:rPr>
        <w:t>adležni PT-ovi 2 mogu razraditi dodatne elemente, specifične za projekte iz svoga djelokruga, koje će također uzimati u obzir prilikom uzorkovanja nabava koje će ex-ante provjeravati SAFU i nadležni PT2</w:t>
      </w:r>
      <w:r>
        <w:rPr>
          <w:rFonts w:ascii="Times New Roman" w:eastAsia="Calibri" w:hAnsi="Times New Roman" w:cs="Times New Roman"/>
          <w:sz w:val="24"/>
          <w:szCs w:val="24"/>
        </w:rPr>
        <w:t>, ali pri tome ne odstupajući od metodološkog okvira koji utvrđuje ZNP</w:t>
      </w:r>
      <w:r w:rsidR="0007519F">
        <w:rPr>
          <w:rFonts w:ascii="Times New Roman" w:eastAsia="Calibri" w:hAnsi="Times New Roman" w:cs="Times New Roman"/>
          <w:sz w:val="24"/>
          <w:szCs w:val="24"/>
        </w:rPr>
        <w:t xml:space="preserve">. </w:t>
      </w:r>
    </w:p>
    <w:p w14:paraId="50A7CBD5" w14:textId="66CC8C04" w:rsidR="0007519F" w:rsidRDefault="00D013E3" w:rsidP="0007519F">
      <w:pPr>
        <w:jc w:val="both"/>
        <w:rPr>
          <w:rFonts w:ascii="Times New Roman" w:eastAsia="Calibri" w:hAnsi="Times New Roman" w:cs="Times New Roman"/>
          <w:sz w:val="24"/>
          <w:szCs w:val="24"/>
        </w:rPr>
      </w:pPr>
      <w:r>
        <w:rPr>
          <w:rFonts w:ascii="Times New Roman" w:eastAsia="Calibri" w:hAnsi="Times New Roman" w:cs="Times New Roman"/>
          <w:sz w:val="24"/>
          <w:szCs w:val="24"/>
        </w:rPr>
        <w:t>S</w:t>
      </w:r>
      <w:r w:rsidR="0007519F">
        <w:rPr>
          <w:rFonts w:ascii="Times New Roman" w:eastAsia="Calibri" w:hAnsi="Times New Roman" w:cs="Times New Roman"/>
          <w:sz w:val="24"/>
          <w:szCs w:val="24"/>
        </w:rPr>
        <w:t>ve dodatne elemente vezane uz ex-ante provjeru nabava</w:t>
      </w:r>
      <w:r w:rsidR="002F6DA0">
        <w:rPr>
          <w:rFonts w:ascii="Times New Roman" w:eastAsia="Calibri" w:hAnsi="Times New Roman" w:cs="Times New Roman"/>
          <w:sz w:val="24"/>
          <w:szCs w:val="24"/>
        </w:rPr>
        <w:t>,</w:t>
      </w:r>
      <w:r w:rsidR="0007519F">
        <w:rPr>
          <w:rFonts w:ascii="Times New Roman" w:eastAsia="Calibri" w:hAnsi="Times New Roman" w:cs="Times New Roman"/>
          <w:sz w:val="24"/>
          <w:szCs w:val="24"/>
        </w:rPr>
        <w:t xml:space="preserve"> SAFU i nadležni PT2 utvrditi će u svojim priručnicima o postupanju, a u slučajevima naknadne potrebe pisanim putem. Na navedenu metodologiju, priručnik o postupanju te svako daljnje pisano utvrđeno postupanje prethodnu suglasnost daje Upravljačko tijelo.</w:t>
      </w:r>
    </w:p>
    <w:p w14:paraId="50439287" w14:textId="77777777" w:rsidR="0007519F" w:rsidRDefault="0007519F" w:rsidP="0007519F">
      <w:pPr>
        <w:jc w:val="both"/>
        <w:rPr>
          <w:rFonts w:ascii="Times New Roman" w:eastAsia="Calibri" w:hAnsi="Times New Roman" w:cs="Times New Roman"/>
          <w:sz w:val="24"/>
          <w:szCs w:val="24"/>
        </w:rPr>
      </w:pPr>
      <w:r>
        <w:rPr>
          <w:rFonts w:ascii="Times New Roman" w:eastAsia="Calibri" w:hAnsi="Times New Roman" w:cs="Times New Roman"/>
          <w:sz w:val="24"/>
          <w:szCs w:val="24"/>
        </w:rPr>
        <w:t>Ako je riječ o projektu koji obuhvaća nabave koje ex-ante provjeravaju nadležni PT2 i SAFU (svaki u svom djelokrugu), potrebno je koordinirati međusobno postupanje na način da se uvijek uzmu u obzir komentari koje je dala SAFU, u smislu preventivnog postupanja i dobre prakse, kako u odnosu na nadležni PT2, tako i korisnike.</w:t>
      </w:r>
    </w:p>
    <w:p w14:paraId="014122E4" w14:textId="66AF217A" w:rsidR="00AB4612" w:rsidRDefault="0007519F" w:rsidP="00EA5EF0">
      <w:pPr>
        <w:jc w:val="both"/>
        <w:rPr>
          <w:rFonts w:ascii="Times New Roman" w:eastAsia="Calibri" w:hAnsi="Times New Roman" w:cs="Times New Roman"/>
          <w:sz w:val="24"/>
          <w:szCs w:val="24"/>
        </w:rPr>
      </w:pPr>
      <w:r w:rsidRPr="00B6064F">
        <w:rPr>
          <w:rFonts w:ascii="Times New Roman" w:eastAsia="Calibri" w:hAnsi="Times New Roman" w:cs="Times New Roman"/>
          <w:sz w:val="24"/>
          <w:szCs w:val="24"/>
        </w:rPr>
        <w:t>Planove nabave korisnika zaprima nadležni PT2, sukladno odredbama Zajedničkih nacionalnih pravila (ZNP). Po zaprimanju dokumentacije o nabavi, nadležni PT2 u roku 10 radnih dana dostavlja na ex-ante provjeru u SAFU onu dokumentaciju o n</w:t>
      </w:r>
      <w:r w:rsidR="002F6DA0">
        <w:rPr>
          <w:rFonts w:ascii="Times New Roman" w:eastAsia="Calibri" w:hAnsi="Times New Roman" w:cs="Times New Roman"/>
          <w:sz w:val="24"/>
          <w:szCs w:val="24"/>
        </w:rPr>
        <w:t>abavi koju je obvezan dostaviti.</w:t>
      </w:r>
    </w:p>
    <w:p w14:paraId="355223B5" w14:textId="77777777" w:rsidR="001E1661" w:rsidRDefault="001E1661" w:rsidP="00EA5EF0">
      <w:pPr>
        <w:jc w:val="both"/>
        <w:rPr>
          <w:rFonts w:ascii="Times New Roman" w:eastAsia="Calibri" w:hAnsi="Times New Roman" w:cs="Times New Roman"/>
          <w:b/>
          <w:sz w:val="24"/>
          <w:szCs w:val="24"/>
        </w:rPr>
      </w:pPr>
    </w:p>
    <w:p w14:paraId="44FA25CC" w14:textId="312E8A59" w:rsidR="00D362C8" w:rsidRDefault="00D362C8" w:rsidP="00BA7CFC">
      <w:pPr>
        <w:pStyle w:val="ListParagraph"/>
        <w:numPr>
          <w:ilvl w:val="0"/>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Dodatn</w:t>
      </w:r>
      <w:r w:rsidR="00D459CD" w:rsidRPr="00D61F56">
        <w:rPr>
          <w:rFonts w:ascii="Times New Roman" w:eastAsia="Calibri" w:hAnsi="Times New Roman" w:cs="Times New Roman"/>
          <w:b/>
          <w:sz w:val="24"/>
          <w:szCs w:val="24"/>
        </w:rPr>
        <w:t>e odredbe</w:t>
      </w:r>
    </w:p>
    <w:p w14:paraId="617E47FB" w14:textId="77777777" w:rsidR="00BA7CFC" w:rsidRPr="00D61F56" w:rsidRDefault="00BA7CFC" w:rsidP="00BA7CFC">
      <w:pPr>
        <w:pStyle w:val="ListParagraph"/>
        <w:jc w:val="both"/>
        <w:rPr>
          <w:rFonts w:ascii="Times New Roman" w:eastAsia="Calibri" w:hAnsi="Times New Roman" w:cs="Times New Roman"/>
          <w:b/>
          <w:sz w:val="24"/>
          <w:szCs w:val="24"/>
        </w:rPr>
      </w:pPr>
    </w:p>
    <w:p w14:paraId="143D7ED8" w14:textId="733ACC89" w:rsidR="001E1661" w:rsidRPr="00D61F56" w:rsidRDefault="001E1661" w:rsidP="00BA7CFC">
      <w:pPr>
        <w:pStyle w:val="ListParagraph"/>
        <w:numPr>
          <w:ilvl w:val="1"/>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Pregovarački postupak</w:t>
      </w:r>
    </w:p>
    <w:p w14:paraId="5FEAB519" w14:textId="79658293" w:rsidR="00EA5EF0" w:rsidRDefault="00BA7CFC" w:rsidP="00EA5EF0">
      <w:pPr>
        <w:jc w:val="both"/>
        <w:rPr>
          <w:rFonts w:ascii="Times New Roman" w:eastAsia="Calibri" w:hAnsi="Times New Roman" w:cs="Times New Roman"/>
          <w:sz w:val="24"/>
          <w:szCs w:val="24"/>
        </w:rPr>
      </w:pPr>
      <w:r>
        <w:rPr>
          <w:rFonts w:ascii="Times New Roman" w:eastAsia="Calibri" w:hAnsi="Times New Roman" w:cs="Times New Roman"/>
          <w:sz w:val="24"/>
          <w:szCs w:val="24"/>
        </w:rPr>
        <w:t>U</w:t>
      </w:r>
      <w:r w:rsidR="00EA5EF0">
        <w:rPr>
          <w:rFonts w:ascii="Times New Roman" w:eastAsia="Calibri" w:hAnsi="Times New Roman" w:cs="Times New Roman"/>
          <w:sz w:val="24"/>
          <w:szCs w:val="24"/>
        </w:rPr>
        <w:t xml:space="preserve"> situacijama kada se koristi pregovarački postupak</w:t>
      </w:r>
      <w:r>
        <w:rPr>
          <w:rFonts w:ascii="Times New Roman" w:eastAsia="Calibri" w:hAnsi="Times New Roman" w:cs="Times New Roman"/>
          <w:sz w:val="24"/>
          <w:szCs w:val="24"/>
        </w:rPr>
        <w:t>,</w:t>
      </w:r>
      <w:r w:rsidR="00EA5EF0">
        <w:rPr>
          <w:rFonts w:ascii="Times New Roman" w:eastAsia="Calibri" w:hAnsi="Times New Roman" w:cs="Times New Roman"/>
          <w:sz w:val="24"/>
          <w:szCs w:val="24"/>
        </w:rPr>
        <w:t xml:space="preserve"> obavezno </w:t>
      </w:r>
      <w:r>
        <w:rPr>
          <w:rFonts w:ascii="Times New Roman" w:eastAsia="Calibri" w:hAnsi="Times New Roman" w:cs="Times New Roman"/>
          <w:sz w:val="24"/>
          <w:szCs w:val="24"/>
        </w:rPr>
        <w:t xml:space="preserve"> je potrebno </w:t>
      </w:r>
      <w:r w:rsidR="00EA5EF0">
        <w:rPr>
          <w:rFonts w:ascii="Times New Roman" w:eastAsia="Calibri" w:hAnsi="Times New Roman" w:cs="Times New Roman"/>
          <w:sz w:val="24"/>
          <w:szCs w:val="24"/>
        </w:rPr>
        <w:t>obrazložiti razloge za primjenu tog postupka te takvo obrazloženje dostaviti uz dokumentaciju koja se dostavlja na ex-ante provjeru.</w:t>
      </w:r>
    </w:p>
    <w:p w14:paraId="01AB3252" w14:textId="5E6C538A" w:rsidR="00F7711B" w:rsidRPr="00D61F56" w:rsidRDefault="0001006C" w:rsidP="00BA7CFC">
      <w:pPr>
        <w:pStyle w:val="ListParagraph"/>
        <w:numPr>
          <w:ilvl w:val="1"/>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Objedinjene nabave gdje dio stavaka/predmeta nabave nije EU financiran</w:t>
      </w:r>
    </w:p>
    <w:p w14:paraId="75575DA5" w14:textId="2A3562A5" w:rsidR="00ED4C9C" w:rsidRDefault="0001006C" w:rsidP="00D362C8">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Ukoliko Plan nabave predviđa objedinjenu/e nabavu/e (nabave gdje dio stavaka/predmeta nabave nije EU financiran), u analizu rizika se kao relevantan uzima samo </w:t>
      </w:r>
      <w:r w:rsidR="00D1170F">
        <w:rPr>
          <w:rFonts w:ascii="Times New Roman" w:eastAsia="Calibri" w:hAnsi="Times New Roman" w:cs="Times New Roman"/>
          <w:sz w:val="24"/>
          <w:szCs w:val="24"/>
        </w:rPr>
        <w:t xml:space="preserve">udio vrijednosti/predmet/grupe/lokacije koje se odnose na </w:t>
      </w:r>
      <w:r w:rsidR="00AB4612">
        <w:rPr>
          <w:rFonts w:ascii="Times New Roman" w:eastAsia="Calibri" w:hAnsi="Times New Roman" w:cs="Times New Roman"/>
          <w:sz w:val="24"/>
          <w:szCs w:val="24"/>
        </w:rPr>
        <w:t xml:space="preserve">prihvatljive troškove </w:t>
      </w:r>
      <w:r w:rsidR="00D1170F">
        <w:rPr>
          <w:rFonts w:ascii="Times New Roman" w:eastAsia="Calibri" w:hAnsi="Times New Roman" w:cs="Times New Roman"/>
          <w:sz w:val="24"/>
          <w:szCs w:val="24"/>
        </w:rPr>
        <w:t>EU sufinanciran</w:t>
      </w:r>
      <w:r w:rsidR="00AB4612">
        <w:rPr>
          <w:rFonts w:ascii="Times New Roman" w:eastAsia="Calibri" w:hAnsi="Times New Roman" w:cs="Times New Roman"/>
          <w:sz w:val="24"/>
          <w:szCs w:val="24"/>
        </w:rPr>
        <w:t>og</w:t>
      </w:r>
      <w:r w:rsidR="00D1170F">
        <w:rPr>
          <w:rFonts w:ascii="Times New Roman" w:eastAsia="Calibri" w:hAnsi="Times New Roman" w:cs="Times New Roman"/>
          <w:sz w:val="24"/>
          <w:szCs w:val="24"/>
        </w:rPr>
        <w:t xml:space="preserve"> projekt</w:t>
      </w:r>
      <w:r w:rsidR="00AB4612">
        <w:rPr>
          <w:rFonts w:ascii="Times New Roman" w:eastAsia="Calibri" w:hAnsi="Times New Roman" w:cs="Times New Roman"/>
          <w:sz w:val="24"/>
          <w:szCs w:val="24"/>
        </w:rPr>
        <w:t>a</w:t>
      </w:r>
      <w:r w:rsidR="00D1170F">
        <w:rPr>
          <w:rFonts w:ascii="Times New Roman" w:eastAsia="Calibri" w:hAnsi="Times New Roman" w:cs="Times New Roman"/>
          <w:sz w:val="24"/>
          <w:szCs w:val="24"/>
        </w:rPr>
        <w:t>.</w:t>
      </w:r>
    </w:p>
    <w:p w14:paraId="5575DBE4" w14:textId="74BF4B90" w:rsidR="00ED4C9C" w:rsidRPr="00BF5B17" w:rsidRDefault="00ED4C9C" w:rsidP="00BF5B17">
      <w:pPr>
        <w:jc w:val="both"/>
        <w:rPr>
          <w:rFonts w:ascii="Times New Roman" w:eastAsia="Calibri" w:hAnsi="Times New Roman" w:cs="Times New Roman"/>
          <w:b/>
          <w:sz w:val="24"/>
          <w:szCs w:val="24"/>
          <w:u w:val="single"/>
        </w:rPr>
      </w:pPr>
      <w:r w:rsidRPr="00492159">
        <w:rPr>
          <w:rFonts w:ascii="Times New Roman" w:eastAsia="Calibri" w:hAnsi="Times New Roman" w:cs="Times New Roman"/>
          <w:b/>
          <w:sz w:val="24"/>
          <w:szCs w:val="24"/>
          <w:u w:val="single"/>
        </w:rPr>
        <w:t>Pod B</w:t>
      </w:r>
      <w:r w:rsidR="00E22472" w:rsidRPr="00492159">
        <w:rPr>
          <w:rFonts w:ascii="Times New Roman" w:eastAsia="Calibri" w:hAnsi="Times New Roman" w:cs="Times New Roman"/>
          <w:b/>
          <w:sz w:val="24"/>
          <w:szCs w:val="24"/>
          <w:u w:val="single"/>
        </w:rPr>
        <w:t>.</w:t>
      </w:r>
      <w:r w:rsidRPr="00492159">
        <w:rPr>
          <w:rFonts w:ascii="Times New Roman" w:eastAsia="Calibri" w:hAnsi="Times New Roman" w:cs="Times New Roman"/>
          <w:b/>
          <w:sz w:val="24"/>
          <w:szCs w:val="24"/>
          <w:u w:val="single"/>
        </w:rPr>
        <w:t xml:space="preserve"> utvrđuje se sljedeće:</w:t>
      </w:r>
    </w:p>
    <w:p w14:paraId="106AC42B" w14:textId="62D15512" w:rsidR="008D0BFC" w:rsidRPr="00BA7CFC" w:rsidRDefault="001F00AB" w:rsidP="00BA7CFC">
      <w:pPr>
        <w:pStyle w:val="ListParagraph"/>
        <w:numPr>
          <w:ilvl w:val="0"/>
          <w:numId w:val="1"/>
        </w:numPr>
        <w:jc w:val="both"/>
        <w:rPr>
          <w:rFonts w:ascii="Times New Roman" w:eastAsia="Calibri" w:hAnsi="Times New Roman" w:cs="Times New Roman"/>
          <w:b/>
          <w:sz w:val="24"/>
          <w:szCs w:val="24"/>
        </w:rPr>
      </w:pPr>
      <w:r w:rsidRPr="00BA7CFC">
        <w:rPr>
          <w:rFonts w:ascii="Times New Roman" w:eastAsia="Calibri" w:hAnsi="Times New Roman" w:cs="Times New Roman"/>
          <w:b/>
          <w:sz w:val="24"/>
          <w:szCs w:val="24"/>
        </w:rPr>
        <w:lastRenderedPageBreak/>
        <w:t xml:space="preserve">Ex-post provjera postupaka nabava </w:t>
      </w:r>
    </w:p>
    <w:p w14:paraId="525B5FAC" w14:textId="77777777" w:rsidR="00C5380A" w:rsidRDefault="00C5380A" w:rsidP="00BA7CFC">
      <w:pPr>
        <w:pStyle w:val="ListParagraph"/>
        <w:ind w:left="900"/>
        <w:jc w:val="both"/>
        <w:rPr>
          <w:rFonts w:ascii="Times New Roman" w:eastAsia="Calibri" w:hAnsi="Times New Roman" w:cs="Times New Roman"/>
          <w:b/>
          <w:sz w:val="24"/>
          <w:szCs w:val="24"/>
        </w:rPr>
      </w:pPr>
    </w:p>
    <w:p w14:paraId="6AB620FE" w14:textId="60361584" w:rsidR="00AF4419" w:rsidRDefault="00AF4419" w:rsidP="00BA7CFC">
      <w:pPr>
        <w:pStyle w:val="ListParagraph"/>
        <w:numPr>
          <w:ilvl w:val="1"/>
          <w:numId w:val="1"/>
        </w:numPr>
        <w:jc w:val="both"/>
        <w:rPr>
          <w:rFonts w:ascii="Times New Roman" w:eastAsia="Calibri" w:hAnsi="Times New Roman" w:cs="Times New Roman"/>
          <w:b/>
          <w:sz w:val="24"/>
          <w:szCs w:val="24"/>
        </w:rPr>
      </w:pPr>
      <w:r w:rsidRPr="00AA5B22">
        <w:rPr>
          <w:rFonts w:ascii="Times New Roman" w:eastAsia="Calibri" w:hAnsi="Times New Roman" w:cs="Times New Roman"/>
          <w:b/>
          <w:sz w:val="24"/>
          <w:szCs w:val="24"/>
        </w:rPr>
        <w:t xml:space="preserve">Neobveznici Zakona o javnoj nabavi </w:t>
      </w:r>
      <w:r>
        <w:rPr>
          <w:rFonts w:ascii="Times New Roman" w:eastAsia="Calibri" w:hAnsi="Times New Roman" w:cs="Times New Roman"/>
          <w:b/>
          <w:sz w:val="24"/>
          <w:szCs w:val="24"/>
        </w:rPr>
        <w:t>(NOJN)</w:t>
      </w:r>
    </w:p>
    <w:p w14:paraId="15E4554D" w14:textId="77777777" w:rsidR="00BA7CFC" w:rsidRDefault="00BA7CFC" w:rsidP="00BA7CFC">
      <w:pPr>
        <w:pStyle w:val="ListParagraph"/>
        <w:ind w:left="900"/>
        <w:jc w:val="both"/>
        <w:rPr>
          <w:rFonts w:ascii="Times New Roman" w:eastAsia="Calibri" w:hAnsi="Times New Roman" w:cs="Times New Roman"/>
          <w:b/>
          <w:sz w:val="24"/>
          <w:szCs w:val="24"/>
        </w:rPr>
      </w:pPr>
    </w:p>
    <w:p w14:paraId="0CA6E44A" w14:textId="73A93779" w:rsidR="00AF4419" w:rsidRPr="00D61F56" w:rsidRDefault="00AF4419" w:rsidP="00D61F56">
      <w:pPr>
        <w:pStyle w:val="ListParagraph"/>
        <w:numPr>
          <w:ilvl w:val="0"/>
          <w:numId w:val="12"/>
        </w:numPr>
        <w:jc w:val="both"/>
        <w:rPr>
          <w:rFonts w:ascii="Times New Roman" w:eastAsia="Calibri" w:hAnsi="Times New Roman" w:cs="Times New Roman"/>
          <w:b/>
          <w:sz w:val="24"/>
          <w:szCs w:val="24"/>
        </w:rPr>
      </w:pPr>
      <w:r w:rsidRPr="00327198">
        <w:rPr>
          <w:rFonts w:ascii="Times New Roman" w:eastAsia="Calibri" w:hAnsi="Times New Roman" w:cs="Times New Roman"/>
          <w:sz w:val="24"/>
          <w:szCs w:val="24"/>
        </w:rPr>
        <w:t xml:space="preserve">Kada subjekt koji nije obveznik Zakona o javnoj nabavi provodi nabave procijenjene vrijednosti nabave </w:t>
      </w:r>
      <w:r w:rsidRPr="00327198">
        <w:rPr>
          <w:rFonts w:ascii="Times New Roman" w:eastAsia="Calibri" w:hAnsi="Times New Roman" w:cs="Times New Roman"/>
          <w:sz w:val="24"/>
          <w:szCs w:val="24"/>
          <w:u w:val="single"/>
        </w:rPr>
        <w:t>jednake ili veće od europskih pragova</w:t>
      </w:r>
      <w:r w:rsidRPr="00327198">
        <w:rPr>
          <w:rFonts w:ascii="Times New Roman" w:eastAsia="Calibri" w:hAnsi="Times New Roman" w:cs="Times New Roman"/>
          <w:sz w:val="24"/>
          <w:szCs w:val="24"/>
        </w:rPr>
        <w:t xml:space="preserve"> iz Direktive 2014/24/EU, </w:t>
      </w:r>
      <w:r w:rsidRPr="00D61F56">
        <w:rPr>
          <w:rFonts w:ascii="Times New Roman" w:eastAsia="Calibri" w:hAnsi="Times New Roman" w:cs="Times New Roman"/>
          <w:b/>
          <w:sz w:val="24"/>
          <w:szCs w:val="24"/>
        </w:rPr>
        <w:t>uvijek</w:t>
      </w:r>
      <w:r>
        <w:rPr>
          <w:rFonts w:ascii="Times New Roman" w:eastAsia="Calibri" w:hAnsi="Times New Roman" w:cs="Times New Roman"/>
          <w:sz w:val="24"/>
          <w:szCs w:val="24"/>
        </w:rPr>
        <w:t xml:space="preserve"> se </w:t>
      </w:r>
      <w:r w:rsidRPr="00327198">
        <w:rPr>
          <w:rFonts w:ascii="Times New Roman" w:eastAsia="Calibri" w:hAnsi="Times New Roman" w:cs="Times New Roman"/>
          <w:sz w:val="24"/>
          <w:szCs w:val="24"/>
        </w:rPr>
        <w:t>provodi provjera postupaka takvih nabava.</w:t>
      </w:r>
    </w:p>
    <w:p w14:paraId="660ABFD6" w14:textId="7990B403" w:rsidR="00AF4419" w:rsidRPr="00327198" w:rsidRDefault="00AF4419" w:rsidP="00D61F56">
      <w:pPr>
        <w:pStyle w:val="ListParagraph"/>
        <w:jc w:val="both"/>
        <w:rPr>
          <w:rFonts w:ascii="Times New Roman" w:eastAsia="Calibri" w:hAnsi="Times New Roman" w:cs="Times New Roman"/>
          <w:b/>
          <w:sz w:val="24"/>
          <w:szCs w:val="24"/>
        </w:rPr>
      </w:pPr>
      <w:r w:rsidRPr="00327198">
        <w:rPr>
          <w:rFonts w:ascii="Times New Roman" w:eastAsia="Calibri" w:hAnsi="Times New Roman" w:cs="Times New Roman"/>
          <w:sz w:val="24"/>
          <w:szCs w:val="24"/>
        </w:rPr>
        <w:t xml:space="preserve"> </w:t>
      </w:r>
    </w:p>
    <w:p w14:paraId="35D4A444" w14:textId="57C383A6" w:rsidR="00AF4419" w:rsidRPr="008D0BFC" w:rsidRDefault="00AF4419" w:rsidP="00D61F56">
      <w:pPr>
        <w:pStyle w:val="ListParagraph"/>
        <w:numPr>
          <w:ilvl w:val="0"/>
          <w:numId w:val="12"/>
        </w:numPr>
        <w:spacing w:line="256" w:lineRule="auto"/>
        <w:jc w:val="both"/>
        <w:rPr>
          <w:rFonts w:ascii="Times New Roman" w:eastAsia="Calibri" w:hAnsi="Times New Roman" w:cs="Times New Roman"/>
          <w:sz w:val="24"/>
          <w:szCs w:val="24"/>
        </w:rPr>
      </w:pPr>
      <w:r w:rsidRPr="008D0BFC">
        <w:rPr>
          <w:rFonts w:ascii="Times New Roman" w:eastAsia="Calibri" w:hAnsi="Times New Roman" w:cs="Times New Roman"/>
          <w:sz w:val="24"/>
          <w:szCs w:val="24"/>
        </w:rPr>
        <w:t xml:space="preserve">U slučaju nabava koje provodi subjekt koji nije obveznik Zakona o javnoj nabavi, a koja nabava je procijenjene vrijednosti nabave </w:t>
      </w:r>
      <w:r w:rsidRPr="008D0BFC">
        <w:rPr>
          <w:rFonts w:ascii="Times New Roman" w:eastAsia="Calibri" w:hAnsi="Times New Roman" w:cs="Times New Roman"/>
          <w:sz w:val="24"/>
          <w:szCs w:val="24"/>
          <w:u w:val="single"/>
        </w:rPr>
        <w:t>ispod europskih pragova</w:t>
      </w:r>
      <w:r w:rsidRPr="008D0BFC">
        <w:rPr>
          <w:rFonts w:ascii="Times New Roman" w:eastAsia="Calibri" w:hAnsi="Times New Roman" w:cs="Times New Roman"/>
          <w:sz w:val="24"/>
          <w:szCs w:val="24"/>
        </w:rPr>
        <w:t xml:space="preserve"> iz Direktive 2014/24/EU, a jednaka ili veća od vrijednosti pragova iz članka 12. Zakona o javnoj nabavi (200.000</w:t>
      </w:r>
      <w:r w:rsidR="00BA7CFC">
        <w:rPr>
          <w:rFonts w:ascii="Times New Roman" w:eastAsia="Calibri" w:hAnsi="Times New Roman" w:cs="Times New Roman"/>
          <w:sz w:val="24"/>
          <w:szCs w:val="24"/>
        </w:rPr>
        <w:t>,00</w:t>
      </w:r>
      <w:r w:rsidRPr="008D0BFC">
        <w:rPr>
          <w:rFonts w:ascii="Times New Roman" w:eastAsia="Calibri" w:hAnsi="Times New Roman" w:cs="Times New Roman"/>
          <w:sz w:val="24"/>
          <w:szCs w:val="24"/>
        </w:rPr>
        <w:t xml:space="preserve"> kn za robe i usluge, 500.000</w:t>
      </w:r>
      <w:r w:rsidR="00BA7CFC">
        <w:rPr>
          <w:rFonts w:ascii="Times New Roman" w:eastAsia="Calibri" w:hAnsi="Times New Roman" w:cs="Times New Roman"/>
          <w:sz w:val="24"/>
          <w:szCs w:val="24"/>
        </w:rPr>
        <w:t>,00</w:t>
      </w:r>
      <w:r w:rsidRPr="008D0BFC">
        <w:rPr>
          <w:rFonts w:ascii="Times New Roman" w:eastAsia="Calibri" w:hAnsi="Times New Roman" w:cs="Times New Roman"/>
          <w:sz w:val="24"/>
          <w:szCs w:val="24"/>
        </w:rPr>
        <w:t xml:space="preserve"> kn za radove), provodi se provjera postupaka takvih nabava prema sljedećoj metodologiji:</w:t>
      </w:r>
    </w:p>
    <w:p w14:paraId="4AE5BD39" w14:textId="77777777" w:rsidR="001F00AB" w:rsidRDefault="001F00AB" w:rsidP="001F00AB">
      <w:pPr>
        <w:jc w:val="both"/>
        <w:rPr>
          <w:rFonts w:ascii="Times New Roman" w:eastAsia="Calibri" w:hAnsi="Times New Roman" w:cs="Times New Roman"/>
          <w:sz w:val="24"/>
          <w:szCs w:val="24"/>
        </w:rPr>
      </w:pPr>
      <w:r>
        <w:rPr>
          <w:rFonts w:ascii="Times New Roman" w:eastAsia="Calibri" w:hAnsi="Times New Roman" w:cs="Times New Roman"/>
          <w:sz w:val="24"/>
          <w:szCs w:val="24"/>
        </w:rPr>
        <w:t>Faktori i bodovi koji će se uzeti u obzir za analizu su:</w:t>
      </w:r>
    </w:p>
    <w:p w14:paraId="6A990B39" w14:textId="6BD9D99F" w:rsidR="001F00AB" w:rsidRDefault="001F00AB" w:rsidP="001F00AB">
      <w:pPr>
        <w:jc w:val="both"/>
        <w:rPr>
          <w:rFonts w:ascii="Times New Roman" w:eastAsia="Calibri" w:hAnsi="Times New Roman" w:cs="Times New Roman"/>
          <w:sz w:val="24"/>
          <w:szCs w:val="24"/>
        </w:rPr>
      </w:pPr>
      <w:r w:rsidRPr="00F5043C">
        <w:rPr>
          <w:rFonts w:ascii="Times New Roman" w:eastAsia="Calibri" w:hAnsi="Times New Roman" w:cs="Times New Roman"/>
          <w:sz w:val="24"/>
          <w:szCs w:val="24"/>
        </w:rPr>
        <w:t xml:space="preserve">- </w:t>
      </w:r>
      <w:r w:rsidR="00AF4419">
        <w:rPr>
          <w:rFonts w:ascii="Times New Roman" w:eastAsia="Calibri" w:hAnsi="Times New Roman" w:cs="Times New Roman"/>
          <w:sz w:val="24"/>
          <w:szCs w:val="24"/>
        </w:rPr>
        <w:t>nabave su pokrenute prije sklapanja ugovora o dodjeli bespovratnih sredstava:</w:t>
      </w:r>
      <w:r>
        <w:rPr>
          <w:rFonts w:ascii="Times New Roman" w:eastAsia="Calibri" w:hAnsi="Times New Roman" w:cs="Times New Roman"/>
          <w:sz w:val="24"/>
          <w:szCs w:val="24"/>
        </w:rPr>
        <w:t xml:space="preserve"> </w:t>
      </w:r>
      <w:r w:rsidRPr="00F5043C">
        <w:rPr>
          <w:rFonts w:ascii="Times New Roman" w:eastAsia="Calibri" w:hAnsi="Times New Roman" w:cs="Times New Roman"/>
          <w:sz w:val="24"/>
          <w:szCs w:val="24"/>
        </w:rPr>
        <w:t>ne -  dodjeljuje se 0 bodova</w:t>
      </w:r>
      <w:r>
        <w:rPr>
          <w:rFonts w:ascii="Times New Roman" w:eastAsia="Calibri" w:hAnsi="Times New Roman" w:cs="Times New Roman"/>
          <w:sz w:val="24"/>
          <w:szCs w:val="24"/>
        </w:rPr>
        <w:t xml:space="preserve"> </w:t>
      </w:r>
      <w:r w:rsidRPr="00F5043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5043C">
        <w:rPr>
          <w:rFonts w:ascii="Times New Roman" w:eastAsia="Calibri" w:hAnsi="Times New Roman" w:cs="Times New Roman"/>
          <w:sz w:val="24"/>
          <w:szCs w:val="24"/>
        </w:rPr>
        <w:t>da – dodjeljuju se 2 boda</w:t>
      </w:r>
    </w:p>
    <w:p w14:paraId="03EDB930" w14:textId="6AE63C11" w:rsidR="001F00AB" w:rsidRPr="00F5043C" w:rsidRDefault="001F00AB" w:rsidP="001F00AB">
      <w:pPr>
        <w:jc w:val="both"/>
        <w:rPr>
          <w:rFonts w:ascii="Times New Roman" w:eastAsia="Calibri" w:hAnsi="Times New Roman" w:cs="Times New Roman"/>
          <w:sz w:val="24"/>
          <w:szCs w:val="24"/>
        </w:rPr>
      </w:pPr>
      <w:r w:rsidRPr="00F5043C">
        <w:rPr>
          <w:rFonts w:ascii="Times New Roman" w:eastAsia="Calibri" w:hAnsi="Times New Roman" w:cs="Times New Roman"/>
          <w:sz w:val="24"/>
          <w:szCs w:val="24"/>
        </w:rPr>
        <w:t>- u odnosu na udio nabave u projektu: ako je veći od 33%</w:t>
      </w:r>
      <w:r>
        <w:rPr>
          <w:rFonts w:ascii="Times New Roman" w:eastAsia="Calibri" w:hAnsi="Times New Roman" w:cs="Times New Roman"/>
          <w:sz w:val="24"/>
          <w:szCs w:val="24"/>
        </w:rPr>
        <w:t xml:space="preserve">. </w:t>
      </w:r>
      <w:r w:rsidR="00BA7CFC">
        <w:rPr>
          <w:rFonts w:ascii="Times New Roman" w:eastAsia="Calibri" w:hAnsi="Times New Roman" w:cs="Times New Roman"/>
          <w:sz w:val="24"/>
          <w:szCs w:val="24"/>
        </w:rPr>
        <w:t>Ako</w:t>
      </w:r>
      <w:r>
        <w:rPr>
          <w:rFonts w:ascii="Times New Roman" w:eastAsia="Calibri" w:hAnsi="Times New Roman" w:cs="Times New Roman"/>
          <w:sz w:val="24"/>
          <w:szCs w:val="24"/>
        </w:rPr>
        <w:t xml:space="preserve">PT2 ocijeni kako je </w:t>
      </w:r>
      <w:r w:rsidR="00BA7CFC">
        <w:rPr>
          <w:rFonts w:ascii="Times New Roman" w:eastAsia="Calibri" w:hAnsi="Times New Roman" w:cs="Times New Roman"/>
          <w:sz w:val="24"/>
          <w:szCs w:val="24"/>
        </w:rPr>
        <w:t>to</w:t>
      </w:r>
      <w:r>
        <w:rPr>
          <w:rFonts w:ascii="Times New Roman" w:eastAsia="Calibri" w:hAnsi="Times New Roman" w:cs="Times New Roman"/>
          <w:sz w:val="24"/>
          <w:szCs w:val="24"/>
        </w:rPr>
        <w:t xml:space="preserve"> potrebno, može primijeniti i stroži kriterij (umanjiti % udio nabave u vrijednosti projekta): </w:t>
      </w:r>
      <w:r w:rsidRPr="00F5043C">
        <w:rPr>
          <w:rFonts w:ascii="Times New Roman" w:eastAsia="Calibri" w:hAnsi="Times New Roman" w:cs="Times New Roman"/>
          <w:sz w:val="24"/>
          <w:szCs w:val="24"/>
        </w:rPr>
        <w:t>ne -  dodjeljuje se 0 bodova</w:t>
      </w:r>
      <w:r>
        <w:rPr>
          <w:rFonts w:ascii="Times New Roman" w:eastAsia="Calibri" w:hAnsi="Times New Roman" w:cs="Times New Roman"/>
          <w:sz w:val="24"/>
          <w:szCs w:val="24"/>
        </w:rPr>
        <w:t xml:space="preserve"> </w:t>
      </w:r>
      <w:r w:rsidRPr="00F5043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5043C">
        <w:rPr>
          <w:rFonts w:ascii="Times New Roman" w:eastAsia="Calibri" w:hAnsi="Times New Roman" w:cs="Times New Roman"/>
          <w:sz w:val="24"/>
          <w:szCs w:val="24"/>
        </w:rPr>
        <w:t>da – dodjeljuju se 2 boda</w:t>
      </w:r>
      <w:r>
        <w:rPr>
          <w:rFonts w:ascii="Times New Roman" w:eastAsia="Calibri" w:hAnsi="Times New Roman" w:cs="Times New Roman"/>
          <w:sz w:val="24"/>
          <w:szCs w:val="24"/>
        </w:rPr>
        <w:t xml:space="preserve"> </w:t>
      </w:r>
    </w:p>
    <w:p w14:paraId="51E6290C" w14:textId="2AEF61A3" w:rsidR="001F00AB" w:rsidRPr="00F5043C" w:rsidRDefault="001F00AB" w:rsidP="001F00AB">
      <w:pPr>
        <w:jc w:val="both"/>
        <w:rPr>
          <w:rFonts w:ascii="Times New Roman" w:eastAsia="Calibri" w:hAnsi="Times New Roman" w:cs="Times New Roman"/>
          <w:sz w:val="24"/>
          <w:szCs w:val="24"/>
        </w:rPr>
      </w:pPr>
      <w:r w:rsidRPr="00F5043C">
        <w:rPr>
          <w:rFonts w:ascii="Times New Roman" w:eastAsia="Calibri" w:hAnsi="Times New Roman" w:cs="Times New Roman"/>
          <w:sz w:val="24"/>
          <w:szCs w:val="24"/>
        </w:rPr>
        <w:t>- prethodno iskustvo u provedbi postupaka nabave</w:t>
      </w:r>
      <w:r>
        <w:rPr>
          <w:rFonts w:ascii="Times New Roman" w:eastAsia="Calibri" w:hAnsi="Times New Roman" w:cs="Times New Roman"/>
          <w:sz w:val="24"/>
          <w:szCs w:val="24"/>
        </w:rPr>
        <w:t xml:space="preserve"> sukladno Pravilima</w:t>
      </w:r>
      <w:r w:rsidRPr="005315EB">
        <w:rPr>
          <w:rFonts w:ascii="Times New Roman" w:eastAsia="Calibri" w:hAnsi="Times New Roman" w:cs="Times New Roman"/>
          <w:sz w:val="24"/>
          <w:szCs w:val="24"/>
        </w:rPr>
        <w:t xml:space="preserve"> o provedbi p</w:t>
      </w:r>
      <w:r w:rsidR="00BA7CFC">
        <w:rPr>
          <w:rFonts w:ascii="Times New Roman" w:eastAsia="Calibri" w:hAnsi="Times New Roman" w:cs="Times New Roman"/>
          <w:sz w:val="24"/>
          <w:szCs w:val="24"/>
        </w:rPr>
        <w:t>ostupaka nabava za neobveznike Z</w:t>
      </w:r>
      <w:r w:rsidRPr="005315EB">
        <w:rPr>
          <w:rFonts w:ascii="Times New Roman" w:eastAsia="Calibri" w:hAnsi="Times New Roman" w:cs="Times New Roman"/>
          <w:sz w:val="24"/>
          <w:szCs w:val="24"/>
        </w:rPr>
        <w:t>akona o javnoj nabavi</w:t>
      </w:r>
      <w:r>
        <w:rPr>
          <w:rFonts w:ascii="Times New Roman" w:eastAsia="Calibri" w:hAnsi="Times New Roman" w:cs="Times New Roman"/>
          <w:sz w:val="24"/>
          <w:szCs w:val="24"/>
        </w:rPr>
        <w:t xml:space="preserve"> u </w:t>
      </w:r>
      <w:r w:rsidR="00BA7CFC">
        <w:rPr>
          <w:rFonts w:ascii="Times New Roman" w:eastAsia="Calibri" w:hAnsi="Times New Roman" w:cs="Times New Roman"/>
          <w:sz w:val="24"/>
          <w:szCs w:val="24"/>
        </w:rPr>
        <w:t>okviru</w:t>
      </w:r>
      <w:r>
        <w:rPr>
          <w:rFonts w:ascii="Times New Roman" w:eastAsia="Calibri" w:hAnsi="Times New Roman" w:cs="Times New Roman"/>
          <w:sz w:val="24"/>
          <w:szCs w:val="24"/>
        </w:rPr>
        <w:t xml:space="preserve"> EU sufinanciranih projekata</w:t>
      </w:r>
      <w:r w:rsidRPr="00F5043C">
        <w:rPr>
          <w:rFonts w:ascii="Times New Roman" w:eastAsia="Calibri" w:hAnsi="Times New Roman" w:cs="Times New Roman"/>
          <w:sz w:val="24"/>
          <w:szCs w:val="24"/>
        </w:rPr>
        <w:t>:  da – dodjeljuje se 0 bodova/ne –dodjeljuju se 2 boda</w:t>
      </w:r>
    </w:p>
    <w:p w14:paraId="05C19D8F" w14:textId="4B3BD23B" w:rsidR="001F00AB" w:rsidRDefault="001F00AB" w:rsidP="001F00AB">
      <w:pPr>
        <w:jc w:val="both"/>
        <w:rPr>
          <w:rFonts w:ascii="Times New Roman" w:eastAsia="Calibri" w:hAnsi="Times New Roman" w:cs="Times New Roman"/>
          <w:sz w:val="24"/>
          <w:szCs w:val="24"/>
        </w:rPr>
      </w:pPr>
      <w:r w:rsidRPr="00F5043C">
        <w:rPr>
          <w:rFonts w:ascii="Times New Roman" w:eastAsia="Calibri" w:hAnsi="Times New Roman" w:cs="Times New Roman"/>
          <w:sz w:val="24"/>
          <w:szCs w:val="24"/>
        </w:rPr>
        <w:t>- financijske korekcije koje su korisniku određene u vezi provođenja postupka nabave u zadnje dvije godine</w:t>
      </w:r>
      <w:r w:rsidR="00AB4612">
        <w:rPr>
          <w:rStyle w:val="FootnoteReference"/>
          <w:rFonts w:ascii="Times New Roman" w:eastAsia="Calibri" w:hAnsi="Times New Roman" w:cs="Times New Roman"/>
          <w:sz w:val="24"/>
          <w:szCs w:val="24"/>
        </w:rPr>
        <w:footnoteReference w:id="6"/>
      </w:r>
      <w:r>
        <w:rPr>
          <w:rFonts w:ascii="Times New Roman" w:eastAsia="Calibri" w:hAnsi="Times New Roman" w:cs="Times New Roman"/>
          <w:sz w:val="24"/>
          <w:szCs w:val="24"/>
        </w:rPr>
        <w:t xml:space="preserve">, a koje PT2 može potvrditi u </w:t>
      </w:r>
      <w:r w:rsidR="00BA7CFC">
        <w:rPr>
          <w:rFonts w:ascii="Times New Roman" w:eastAsia="Calibri" w:hAnsi="Times New Roman" w:cs="Times New Roman"/>
          <w:sz w:val="24"/>
          <w:szCs w:val="24"/>
        </w:rPr>
        <w:t>okviru</w:t>
      </w:r>
      <w:r>
        <w:rPr>
          <w:rFonts w:ascii="Times New Roman" w:eastAsia="Calibri" w:hAnsi="Times New Roman" w:cs="Times New Roman"/>
          <w:sz w:val="24"/>
          <w:szCs w:val="24"/>
        </w:rPr>
        <w:t xml:space="preserve"> svog registra nepravilnosti</w:t>
      </w:r>
      <w:r w:rsidRPr="00F5043C">
        <w:rPr>
          <w:rFonts w:ascii="Times New Roman" w:eastAsia="Calibri" w:hAnsi="Times New Roman" w:cs="Times New Roman"/>
          <w:sz w:val="24"/>
          <w:szCs w:val="24"/>
        </w:rPr>
        <w:t>:  ne -  dodjeljuje se 0 bodova</w:t>
      </w:r>
      <w:r>
        <w:rPr>
          <w:rFonts w:ascii="Times New Roman" w:eastAsia="Calibri" w:hAnsi="Times New Roman" w:cs="Times New Roman"/>
          <w:sz w:val="24"/>
          <w:szCs w:val="24"/>
        </w:rPr>
        <w:t xml:space="preserve"> </w:t>
      </w:r>
      <w:r w:rsidRPr="00F5043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Pr="00F5043C">
        <w:rPr>
          <w:rFonts w:ascii="Times New Roman" w:eastAsia="Calibri" w:hAnsi="Times New Roman" w:cs="Times New Roman"/>
          <w:sz w:val="24"/>
          <w:szCs w:val="24"/>
        </w:rPr>
        <w:t>da – dodjeljuju se 2 boda.</w:t>
      </w:r>
    </w:p>
    <w:p w14:paraId="6FC63583" w14:textId="77777777" w:rsidR="001F00AB" w:rsidRDefault="001F00AB" w:rsidP="001F00AB">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A21AE">
        <w:rPr>
          <w:rFonts w:ascii="Times New Roman" w:eastAsia="Calibri" w:hAnsi="Times New Roman" w:cs="Times New Roman"/>
          <w:sz w:val="24"/>
          <w:szCs w:val="24"/>
        </w:rPr>
        <w:t xml:space="preserve">procijenjena vrijednost nabave roba ili usluga bez PDV-a </w:t>
      </w:r>
      <w:r>
        <w:rPr>
          <w:rFonts w:ascii="Times New Roman" w:eastAsia="Calibri" w:hAnsi="Times New Roman" w:cs="Times New Roman"/>
          <w:sz w:val="24"/>
          <w:szCs w:val="24"/>
        </w:rPr>
        <w:t xml:space="preserve">je </w:t>
      </w:r>
      <w:r w:rsidRPr="00EA21AE">
        <w:rPr>
          <w:rFonts w:ascii="Times New Roman" w:eastAsia="Calibri" w:hAnsi="Times New Roman" w:cs="Times New Roman"/>
          <w:sz w:val="24"/>
          <w:szCs w:val="24"/>
        </w:rPr>
        <w:t>iznad 500.000,00 kuna, odnosno radova iznad milijun kuna: ne -  dodjeljuje se 0 bodova / da – dodjeljuju se 2 boda</w:t>
      </w:r>
      <w:r>
        <w:rPr>
          <w:rFonts w:ascii="Times New Roman" w:eastAsia="Calibri" w:hAnsi="Times New Roman" w:cs="Times New Roman"/>
          <w:sz w:val="24"/>
          <w:szCs w:val="24"/>
        </w:rPr>
        <w:t>.</w:t>
      </w:r>
    </w:p>
    <w:p w14:paraId="49167874" w14:textId="26C5BE8B" w:rsidR="00AF4419" w:rsidRDefault="00AF4419" w:rsidP="001F00AB">
      <w:pPr>
        <w:jc w:val="both"/>
        <w:rPr>
          <w:rFonts w:ascii="Times New Roman" w:eastAsia="Calibri" w:hAnsi="Times New Roman" w:cs="Times New Roman"/>
          <w:sz w:val="24"/>
          <w:szCs w:val="24"/>
        </w:rPr>
      </w:pPr>
      <w:r w:rsidRPr="00ED4C9C">
        <w:rPr>
          <w:rFonts w:ascii="Times New Roman" w:eastAsia="Calibri" w:hAnsi="Times New Roman" w:cs="Times New Roman"/>
          <w:sz w:val="24"/>
          <w:szCs w:val="24"/>
        </w:rPr>
        <w:t xml:space="preserve">Sve nabave koje po navedenoj metodologiji dosegnu 6 ili više bodova, </w:t>
      </w:r>
      <w:r w:rsidR="004C6D1E">
        <w:rPr>
          <w:rFonts w:ascii="Times New Roman" w:eastAsia="Calibri" w:hAnsi="Times New Roman" w:cs="Times New Roman"/>
          <w:sz w:val="24"/>
          <w:szCs w:val="24"/>
        </w:rPr>
        <w:t>PT2</w:t>
      </w:r>
      <w:r>
        <w:rPr>
          <w:rFonts w:ascii="Times New Roman" w:eastAsia="Calibri" w:hAnsi="Times New Roman" w:cs="Times New Roman"/>
          <w:sz w:val="24"/>
          <w:szCs w:val="24"/>
        </w:rPr>
        <w:t xml:space="preserve"> provjerava</w:t>
      </w:r>
      <w:r w:rsidRPr="00ED4C9C">
        <w:rPr>
          <w:rFonts w:ascii="Times New Roman" w:eastAsia="Calibri" w:hAnsi="Times New Roman" w:cs="Times New Roman"/>
          <w:sz w:val="24"/>
          <w:szCs w:val="24"/>
        </w:rPr>
        <w:t xml:space="preserve"> ex-post</w:t>
      </w:r>
      <w:r>
        <w:rPr>
          <w:rFonts w:ascii="Times New Roman" w:eastAsia="Calibri" w:hAnsi="Times New Roman" w:cs="Times New Roman"/>
          <w:sz w:val="24"/>
          <w:szCs w:val="24"/>
        </w:rPr>
        <w:t>.</w:t>
      </w:r>
    </w:p>
    <w:p w14:paraId="6EC68D6C" w14:textId="51205D87" w:rsidR="001F00AB" w:rsidRPr="00EA21AE" w:rsidRDefault="001F00AB" w:rsidP="001F00AB">
      <w:pPr>
        <w:jc w:val="both"/>
        <w:rPr>
          <w:rFonts w:ascii="Times New Roman" w:eastAsia="Calibri" w:hAnsi="Times New Roman" w:cs="Times New Roman"/>
          <w:sz w:val="24"/>
          <w:szCs w:val="24"/>
        </w:rPr>
      </w:pPr>
      <w:r>
        <w:rPr>
          <w:rFonts w:ascii="Times New Roman" w:eastAsia="Calibri" w:hAnsi="Times New Roman" w:cs="Times New Roman"/>
          <w:sz w:val="24"/>
          <w:szCs w:val="24"/>
        </w:rPr>
        <w:t>Prilikom analize rizika koristi se kontrolna lista Prilog 2</w:t>
      </w:r>
      <w:r w:rsidR="008D0BFC">
        <w:rPr>
          <w:rFonts w:ascii="Times New Roman" w:eastAsia="Calibri" w:hAnsi="Times New Roman" w:cs="Times New Roman"/>
          <w:sz w:val="24"/>
          <w:szCs w:val="24"/>
        </w:rPr>
        <w:t>1</w:t>
      </w:r>
      <w:r>
        <w:rPr>
          <w:rFonts w:ascii="Times New Roman" w:eastAsia="Calibri" w:hAnsi="Times New Roman" w:cs="Times New Roman"/>
          <w:sz w:val="24"/>
          <w:szCs w:val="24"/>
        </w:rPr>
        <w:t xml:space="preserve"> ovog poglavlja.</w:t>
      </w:r>
    </w:p>
    <w:p w14:paraId="167232D6" w14:textId="6BF53C66" w:rsidR="00C5380A" w:rsidRDefault="00AB4612" w:rsidP="001F00AB">
      <w:pPr>
        <w:jc w:val="both"/>
        <w:rPr>
          <w:rFonts w:ascii="Times New Roman" w:eastAsia="Calibri" w:hAnsi="Times New Roman" w:cs="Times New Roman"/>
          <w:sz w:val="24"/>
          <w:szCs w:val="24"/>
        </w:rPr>
      </w:pPr>
      <w:r w:rsidRPr="002F0218">
        <w:rPr>
          <w:rFonts w:ascii="Times New Roman" w:eastAsia="Calibri" w:hAnsi="Times New Roman" w:cs="Times New Roman"/>
          <w:sz w:val="24"/>
          <w:szCs w:val="24"/>
        </w:rPr>
        <w:t>Primjena strožeg kriterija</w:t>
      </w:r>
      <w:r>
        <w:rPr>
          <w:rFonts w:ascii="Times New Roman" w:eastAsia="Calibri" w:hAnsi="Times New Roman" w:cs="Times New Roman"/>
          <w:sz w:val="24"/>
          <w:szCs w:val="24"/>
        </w:rPr>
        <w:t xml:space="preserve"> (kako je navedeno za kriterij</w:t>
      </w:r>
      <w:r w:rsidRPr="002F0218">
        <w:rPr>
          <w:rFonts w:ascii="Times New Roman" w:eastAsia="Calibri" w:hAnsi="Times New Roman" w:cs="Times New Roman"/>
          <w:sz w:val="24"/>
          <w:szCs w:val="24"/>
        </w:rPr>
        <w:t xml:space="preserve"> udjela nabave u projektu) ovisi o diskrecijskoj ocjeni PT2 u odnosi na portf</w:t>
      </w:r>
      <w:r w:rsidR="00C53DB1">
        <w:rPr>
          <w:rFonts w:ascii="Times New Roman" w:eastAsia="Calibri" w:hAnsi="Times New Roman" w:cs="Times New Roman"/>
          <w:sz w:val="24"/>
          <w:szCs w:val="24"/>
        </w:rPr>
        <w:t xml:space="preserve">elj </w:t>
      </w:r>
      <w:r w:rsidRPr="002F0218">
        <w:rPr>
          <w:rFonts w:ascii="Times New Roman" w:eastAsia="Calibri" w:hAnsi="Times New Roman" w:cs="Times New Roman"/>
          <w:sz w:val="24"/>
          <w:szCs w:val="24"/>
        </w:rPr>
        <w:t>nabava u Planu nabave koji se pregledava. Može se koristiti kako bi se potencijalno dobio veći uzorak.</w:t>
      </w:r>
    </w:p>
    <w:p w14:paraId="2C9446AC" w14:textId="77777777" w:rsidR="007757E7" w:rsidRDefault="007757E7" w:rsidP="001F00AB">
      <w:pPr>
        <w:jc w:val="both"/>
        <w:rPr>
          <w:rFonts w:ascii="Times New Roman" w:eastAsia="Calibri" w:hAnsi="Times New Roman" w:cs="Times New Roman"/>
          <w:b/>
          <w:sz w:val="24"/>
          <w:szCs w:val="24"/>
        </w:rPr>
      </w:pPr>
    </w:p>
    <w:p w14:paraId="522C557B" w14:textId="623D22E3" w:rsidR="001F00AB" w:rsidRDefault="001F00AB" w:rsidP="007757E7">
      <w:pPr>
        <w:pStyle w:val="ListParagraph"/>
        <w:numPr>
          <w:ilvl w:val="1"/>
          <w:numId w:val="1"/>
        </w:numPr>
        <w:jc w:val="both"/>
        <w:rPr>
          <w:rFonts w:ascii="Times New Roman" w:eastAsia="Calibri" w:hAnsi="Times New Roman" w:cs="Times New Roman"/>
          <w:b/>
          <w:sz w:val="24"/>
          <w:szCs w:val="24"/>
        </w:rPr>
      </w:pPr>
      <w:r w:rsidRPr="00327198">
        <w:rPr>
          <w:rFonts w:ascii="Times New Roman" w:eastAsia="Calibri" w:hAnsi="Times New Roman" w:cs="Times New Roman"/>
          <w:b/>
          <w:sz w:val="24"/>
          <w:szCs w:val="24"/>
        </w:rPr>
        <w:t xml:space="preserve">Obveznici Zakona o javnoj nabavi </w:t>
      </w:r>
    </w:p>
    <w:p w14:paraId="08D04BDB" w14:textId="77777777" w:rsidR="007757E7" w:rsidRPr="00327198" w:rsidRDefault="007757E7" w:rsidP="007757E7">
      <w:pPr>
        <w:pStyle w:val="ListParagraph"/>
        <w:ind w:left="900"/>
        <w:jc w:val="both"/>
        <w:rPr>
          <w:rFonts w:ascii="Times New Roman" w:eastAsia="Calibri" w:hAnsi="Times New Roman" w:cs="Times New Roman"/>
          <w:b/>
          <w:sz w:val="24"/>
          <w:szCs w:val="24"/>
        </w:rPr>
      </w:pPr>
    </w:p>
    <w:p w14:paraId="3A01C73D" w14:textId="70A26184" w:rsidR="00D15C86" w:rsidRPr="00327198" w:rsidRDefault="00D15C86" w:rsidP="00D15C86">
      <w:pPr>
        <w:pStyle w:val="ListParagraph"/>
        <w:numPr>
          <w:ilvl w:val="0"/>
          <w:numId w:val="13"/>
        </w:numPr>
        <w:jc w:val="both"/>
        <w:rPr>
          <w:rFonts w:ascii="Times New Roman" w:eastAsia="Calibri" w:hAnsi="Times New Roman" w:cs="Times New Roman"/>
          <w:b/>
          <w:sz w:val="24"/>
          <w:szCs w:val="24"/>
        </w:rPr>
      </w:pPr>
      <w:r w:rsidRPr="00327198">
        <w:rPr>
          <w:rFonts w:ascii="Times New Roman" w:eastAsia="Calibri" w:hAnsi="Times New Roman" w:cs="Times New Roman"/>
          <w:sz w:val="24"/>
          <w:szCs w:val="24"/>
        </w:rPr>
        <w:t xml:space="preserve">Kada subjekt koji </w:t>
      </w:r>
      <w:r>
        <w:rPr>
          <w:rFonts w:ascii="Times New Roman" w:eastAsia="Calibri" w:hAnsi="Times New Roman" w:cs="Times New Roman"/>
          <w:sz w:val="24"/>
          <w:szCs w:val="24"/>
        </w:rPr>
        <w:t>je</w:t>
      </w:r>
      <w:r w:rsidRPr="00327198">
        <w:rPr>
          <w:rFonts w:ascii="Times New Roman" w:eastAsia="Calibri" w:hAnsi="Times New Roman" w:cs="Times New Roman"/>
          <w:sz w:val="24"/>
          <w:szCs w:val="24"/>
        </w:rPr>
        <w:t xml:space="preserve"> obveznik Zakona o javnoj nabavi provodi nabave procijenjene vrijednosti nabave </w:t>
      </w:r>
      <w:r w:rsidRPr="00327198">
        <w:rPr>
          <w:rFonts w:ascii="Times New Roman" w:eastAsia="Calibri" w:hAnsi="Times New Roman" w:cs="Times New Roman"/>
          <w:sz w:val="24"/>
          <w:szCs w:val="24"/>
          <w:u w:val="single"/>
        </w:rPr>
        <w:t>jednake ili veće od europskih pragova</w:t>
      </w:r>
      <w:r w:rsidRPr="00327198">
        <w:rPr>
          <w:rFonts w:ascii="Times New Roman" w:eastAsia="Calibri" w:hAnsi="Times New Roman" w:cs="Times New Roman"/>
          <w:sz w:val="24"/>
          <w:szCs w:val="24"/>
        </w:rPr>
        <w:t xml:space="preserve"> iz Direktive 2014/24/EU</w:t>
      </w:r>
      <w:r w:rsidR="00AB4612">
        <w:rPr>
          <w:rFonts w:ascii="Times New Roman" w:eastAsia="Calibri" w:hAnsi="Times New Roman" w:cs="Times New Roman"/>
          <w:sz w:val="24"/>
          <w:szCs w:val="24"/>
        </w:rPr>
        <w:t xml:space="preserve"> ili Direktive</w:t>
      </w:r>
      <w:r w:rsidR="00AB4612" w:rsidRPr="00AB4612">
        <w:rPr>
          <w:rFonts w:ascii="Times New Roman" w:eastAsia="Calibri" w:hAnsi="Times New Roman" w:cs="Times New Roman"/>
          <w:sz w:val="24"/>
          <w:szCs w:val="24"/>
        </w:rPr>
        <w:t xml:space="preserve"> 2014/25/EU</w:t>
      </w:r>
      <w:r w:rsidRPr="00327198">
        <w:rPr>
          <w:rFonts w:ascii="Times New Roman" w:eastAsia="Calibri" w:hAnsi="Times New Roman" w:cs="Times New Roman"/>
          <w:sz w:val="24"/>
          <w:szCs w:val="24"/>
        </w:rPr>
        <w:t xml:space="preserve">, </w:t>
      </w:r>
      <w:r w:rsidRPr="00327198">
        <w:rPr>
          <w:rFonts w:ascii="Times New Roman" w:eastAsia="Calibri" w:hAnsi="Times New Roman" w:cs="Times New Roman"/>
          <w:b/>
          <w:sz w:val="24"/>
          <w:szCs w:val="24"/>
        </w:rPr>
        <w:t>uvijek</w:t>
      </w:r>
      <w:r>
        <w:rPr>
          <w:rFonts w:ascii="Times New Roman" w:eastAsia="Calibri" w:hAnsi="Times New Roman" w:cs="Times New Roman"/>
          <w:sz w:val="24"/>
          <w:szCs w:val="24"/>
        </w:rPr>
        <w:t xml:space="preserve"> se </w:t>
      </w:r>
      <w:r w:rsidRPr="00327198">
        <w:rPr>
          <w:rFonts w:ascii="Times New Roman" w:eastAsia="Calibri" w:hAnsi="Times New Roman" w:cs="Times New Roman"/>
          <w:sz w:val="24"/>
          <w:szCs w:val="24"/>
        </w:rPr>
        <w:t>provodi se provjera postupaka takvih nabava.</w:t>
      </w:r>
    </w:p>
    <w:p w14:paraId="71453F68" w14:textId="77777777" w:rsidR="00D15C86" w:rsidRPr="00327198" w:rsidRDefault="00D15C86" w:rsidP="00D15C86">
      <w:pPr>
        <w:pStyle w:val="ListParagraph"/>
        <w:jc w:val="both"/>
        <w:rPr>
          <w:rFonts w:ascii="Times New Roman" w:eastAsia="Calibri" w:hAnsi="Times New Roman" w:cs="Times New Roman"/>
          <w:b/>
          <w:sz w:val="24"/>
          <w:szCs w:val="24"/>
        </w:rPr>
      </w:pPr>
      <w:r w:rsidRPr="00327198">
        <w:rPr>
          <w:rFonts w:ascii="Times New Roman" w:eastAsia="Calibri" w:hAnsi="Times New Roman" w:cs="Times New Roman"/>
          <w:sz w:val="24"/>
          <w:szCs w:val="24"/>
        </w:rPr>
        <w:t xml:space="preserve"> </w:t>
      </w:r>
    </w:p>
    <w:p w14:paraId="089E673B" w14:textId="168B07B4" w:rsidR="00D15C86" w:rsidRPr="008D0BFC" w:rsidRDefault="00D15C86" w:rsidP="00D15C86">
      <w:pPr>
        <w:pStyle w:val="ListParagraph"/>
        <w:numPr>
          <w:ilvl w:val="0"/>
          <w:numId w:val="13"/>
        </w:numPr>
        <w:spacing w:line="256" w:lineRule="auto"/>
        <w:jc w:val="both"/>
        <w:rPr>
          <w:rFonts w:ascii="Times New Roman" w:eastAsia="Calibri" w:hAnsi="Times New Roman" w:cs="Times New Roman"/>
          <w:sz w:val="24"/>
          <w:szCs w:val="24"/>
        </w:rPr>
      </w:pPr>
      <w:r w:rsidRPr="008D0BFC">
        <w:rPr>
          <w:rFonts w:ascii="Times New Roman" w:eastAsia="Calibri" w:hAnsi="Times New Roman" w:cs="Times New Roman"/>
          <w:sz w:val="24"/>
          <w:szCs w:val="24"/>
        </w:rPr>
        <w:t xml:space="preserve">U slučaju nabava procijenjene vrijednosti nabave </w:t>
      </w:r>
      <w:r w:rsidRPr="008D0BFC">
        <w:rPr>
          <w:rFonts w:ascii="Times New Roman" w:eastAsia="Calibri" w:hAnsi="Times New Roman" w:cs="Times New Roman"/>
          <w:sz w:val="24"/>
          <w:szCs w:val="24"/>
          <w:u w:val="single"/>
        </w:rPr>
        <w:t>ispod europskih pragova</w:t>
      </w:r>
      <w:r w:rsidRPr="008D0BFC">
        <w:rPr>
          <w:rFonts w:ascii="Times New Roman" w:eastAsia="Calibri" w:hAnsi="Times New Roman" w:cs="Times New Roman"/>
          <w:sz w:val="24"/>
          <w:szCs w:val="24"/>
        </w:rPr>
        <w:t xml:space="preserve"> iz Direktive 2014/24/EU</w:t>
      </w:r>
      <w:r w:rsidR="00AB4612">
        <w:rPr>
          <w:rFonts w:ascii="Times New Roman" w:eastAsia="Calibri" w:hAnsi="Times New Roman" w:cs="Times New Roman"/>
          <w:sz w:val="24"/>
          <w:szCs w:val="24"/>
        </w:rPr>
        <w:t xml:space="preserve"> ili Direktive</w:t>
      </w:r>
      <w:r w:rsidR="00AB4612" w:rsidRPr="00AB4612">
        <w:rPr>
          <w:rFonts w:ascii="Times New Roman" w:eastAsia="Calibri" w:hAnsi="Times New Roman" w:cs="Times New Roman"/>
          <w:sz w:val="24"/>
          <w:szCs w:val="24"/>
        </w:rPr>
        <w:t xml:space="preserve"> 2014/25/EU</w:t>
      </w:r>
      <w:r w:rsidRPr="008D0BFC">
        <w:rPr>
          <w:rFonts w:ascii="Times New Roman" w:eastAsia="Calibri" w:hAnsi="Times New Roman" w:cs="Times New Roman"/>
          <w:sz w:val="24"/>
          <w:szCs w:val="24"/>
        </w:rPr>
        <w:t>, a jednaka ili veća od vrijednosti pragova iz članka 12. Zakona o javnoj nabavi (200.000</w:t>
      </w:r>
      <w:r w:rsidR="007757E7">
        <w:rPr>
          <w:rFonts w:ascii="Times New Roman" w:eastAsia="Calibri" w:hAnsi="Times New Roman" w:cs="Times New Roman"/>
          <w:sz w:val="24"/>
          <w:szCs w:val="24"/>
        </w:rPr>
        <w:t>,00</w:t>
      </w:r>
      <w:r w:rsidRPr="008D0BFC">
        <w:rPr>
          <w:rFonts w:ascii="Times New Roman" w:eastAsia="Calibri" w:hAnsi="Times New Roman" w:cs="Times New Roman"/>
          <w:sz w:val="24"/>
          <w:szCs w:val="24"/>
        </w:rPr>
        <w:t xml:space="preserve"> kn za robe i usluge, 500.000</w:t>
      </w:r>
      <w:r w:rsidR="007757E7">
        <w:rPr>
          <w:rFonts w:ascii="Times New Roman" w:eastAsia="Calibri" w:hAnsi="Times New Roman" w:cs="Times New Roman"/>
          <w:sz w:val="24"/>
          <w:szCs w:val="24"/>
        </w:rPr>
        <w:t>,00</w:t>
      </w:r>
      <w:r w:rsidRPr="008D0BFC">
        <w:rPr>
          <w:rFonts w:ascii="Times New Roman" w:eastAsia="Calibri" w:hAnsi="Times New Roman" w:cs="Times New Roman"/>
          <w:sz w:val="24"/>
          <w:szCs w:val="24"/>
        </w:rPr>
        <w:t xml:space="preserve"> kn za radove), provodi se provjera postupaka takvih nabava prema sljedećoj metodologiji:</w:t>
      </w:r>
    </w:p>
    <w:p w14:paraId="09D8233B" w14:textId="77777777" w:rsidR="001F00AB" w:rsidRPr="00327198" w:rsidRDefault="001F00AB" w:rsidP="001F00AB">
      <w:pPr>
        <w:jc w:val="both"/>
        <w:rPr>
          <w:rFonts w:ascii="Times New Roman" w:eastAsia="Calibri" w:hAnsi="Times New Roman" w:cs="Times New Roman"/>
          <w:sz w:val="24"/>
          <w:szCs w:val="24"/>
        </w:rPr>
      </w:pPr>
      <w:r w:rsidRPr="00327198">
        <w:rPr>
          <w:rFonts w:ascii="Times New Roman" w:eastAsia="Calibri" w:hAnsi="Times New Roman" w:cs="Times New Roman"/>
          <w:sz w:val="24"/>
          <w:szCs w:val="24"/>
        </w:rPr>
        <w:t>Faktori i bodovi koji će se uzeti u obzir za analizu su:</w:t>
      </w:r>
    </w:p>
    <w:p w14:paraId="43CC5637" w14:textId="4B03E7C4" w:rsidR="001F00AB" w:rsidRPr="00327198" w:rsidRDefault="001F00AB" w:rsidP="001F00AB">
      <w:pPr>
        <w:jc w:val="both"/>
        <w:rPr>
          <w:rFonts w:ascii="Times New Roman" w:eastAsia="Calibri" w:hAnsi="Times New Roman" w:cs="Times New Roman"/>
          <w:sz w:val="24"/>
          <w:szCs w:val="24"/>
        </w:rPr>
      </w:pPr>
      <w:r w:rsidRPr="00327198">
        <w:rPr>
          <w:rFonts w:ascii="Times New Roman" w:eastAsia="Calibri" w:hAnsi="Times New Roman" w:cs="Times New Roman"/>
          <w:sz w:val="24"/>
          <w:szCs w:val="24"/>
        </w:rPr>
        <w:t xml:space="preserve">- u odnosu na grupe nabave: ako je riječ o tri ili više grupa nabave. </w:t>
      </w:r>
      <w:r w:rsidR="007757E7">
        <w:rPr>
          <w:rFonts w:ascii="Times New Roman" w:eastAsia="Calibri" w:hAnsi="Times New Roman" w:cs="Times New Roman"/>
          <w:sz w:val="24"/>
          <w:szCs w:val="24"/>
        </w:rPr>
        <w:t>Ako</w:t>
      </w:r>
      <w:r w:rsidRPr="00327198">
        <w:rPr>
          <w:rFonts w:ascii="Times New Roman" w:eastAsia="Calibri" w:hAnsi="Times New Roman" w:cs="Times New Roman"/>
          <w:sz w:val="24"/>
          <w:szCs w:val="24"/>
        </w:rPr>
        <w:t xml:space="preserve"> PT2 ocijeni kako je </w:t>
      </w:r>
      <w:r w:rsidR="007757E7">
        <w:rPr>
          <w:rFonts w:ascii="Times New Roman" w:eastAsia="Calibri" w:hAnsi="Times New Roman" w:cs="Times New Roman"/>
          <w:sz w:val="24"/>
          <w:szCs w:val="24"/>
        </w:rPr>
        <w:t xml:space="preserve">to </w:t>
      </w:r>
      <w:r w:rsidRPr="00327198">
        <w:rPr>
          <w:rFonts w:ascii="Times New Roman" w:eastAsia="Calibri" w:hAnsi="Times New Roman" w:cs="Times New Roman"/>
          <w:sz w:val="24"/>
          <w:szCs w:val="24"/>
        </w:rPr>
        <w:t>potrebno, može primijeniti i stroži kriterij (dodjelu 2 boda ukoliko nabava ima dvije ili više grupa nabave): ne -  dodjeljuje se 0 bodova / da – dodjeljuju se 2 boda</w:t>
      </w:r>
    </w:p>
    <w:p w14:paraId="11145646" w14:textId="3F83422D" w:rsidR="001F00AB" w:rsidRPr="00327198" w:rsidRDefault="001F00AB" w:rsidP="001F00AB">
      <w:pPr>
        <w:jc w:val="both"/>
        <w:rPr>
          <w:rFonts w:ascii="Times New Roman" w:eastAsia="Calibri" w:hAnsi="Times New Roman" w:cs="Times New Roman"/>
          <w:sz w:val="24"/>
          <w:szCs w:val="24"/>
        </w:rPr>
      </w:pPr>
      <w:r w:rsidRPr="00327198">
        <w:rPr>
          <w:rFonts w:ascii="Times New Roman" w:eastAsia="Calibri" w:hAnsi="Times New Roman" w:cs="Times New Roman"/>
          <w:sz w:val="24"/>
          <w:szCs w:val="24"/>
        </w:rPr>
        <w:t>-</w:t>
      </w:r>
      <w:r w:rsidR="007757E7">
        <w:rPr>
          <w:rFonts w:ascii="Times New Roman" w:eastAsia="Calibri" w:hAnsi="Times New Roman" w:cs="Times New Roman"/>
          <w:sz w:val="24"/>
          <w:szCs w:val="24"/>
        </w:rPr>
        <w:t xml:space="preserve"> p</w:t>
      </w:r>
      <w:r w:rsidRPr="00327198">
        <w:rPr>
          <w:rFonts w:ascii="Times New Roman" w:eastAsia="Calibri" w:hAnsi="Times New Roman" w:cs="Times New Roman"/>
          <w:sz w:val="24"/>
          <w:szCs w:val="24"/>
        </w:rPr>
        <w:t xml:space="preserve">redmet nabave je izvođenje građevinskih radova: ne -  dodjeljuje se 0 bodova / da – dodjeljuju se 2 boda. </w:t>
      </w:r>
    </w:p>
    <w:p w14:paraId="797C7419" w14:textId="77777777" w:rsidR="001F00AB" w:rsidRPr="00327198" w:rsidRDefault="001F00AB" w:rsidP="001F00AB">
      <w:pPr>
        <w:jc w:val="both"/>
        <w:rPr>
          <w:rFonts w:ascii="Times New Roman" w:eastAsia="Calibri" w:hAnsi="Times New Roman" w:cs="Times New Roman"/>
          <w:sz w:val="24"/>
          <w:szCs w:val="24"/>
        </w:rPr>
      </w:pPr>
      <w:r w:rsidRPr="00327198">
        <w:rPr>
          <w:rFonts w:ascii="Times New Roman" w:eastAsia="Calibri" w:hAnsi="Times New Roman" w:cs="Times New Roman"/>
          <w:sz w:val="24"/>
          <w:szCs w:val="24"/>
        </w:rPr>
        <w:t>- predmet nabave uključuje izvođenje radova na dvije ili više lokacija</w:t>
      </w:r>
      <w:r w:rsidRPr="00327198">
        <w:rPr>
          <w:rStyle w:val="FootnoteReference"/>
          <w:rFonts w:ascii="Times New Roman" w:eastAsia="Calibri" w:hAnsi="Times New Roman" w:cs="Times New Roman"/>
          <w:sz w:val="24"/>
          <w:szCs w:val="24"/>
        </w:rPr>
        <w:footnoteReference w:id="7"/>
      </w:r>
      <w:r w:rsidRPr="00327198">
        <w:rPr>
          <w:rFonts w:ascii="Times New Roman" w:eastAsia="Calibri" w:hAnsi="Times New Roman" w:cs="Times New Roman"/>
          <w:sz w:val="24"/>
          <w:szCs w:val="24"/>
        </w:rPr>
        <w:t>: ne -  dodjeljuje se 0 bodova / da – dodjeljuju se 2 boda.</w:t>
      </w:r>
    </w:p>
    <w:p w14:paraId="367ED9EB" w14:textId="77777777" w:rsidR="001F00AB" w:rsidRPr="00327198" w:rsidRDefault="001F00AB" w:rsidP="001F00AB">
      <w:pPr>
        <w:jc w:val="both"/>
        <w:rPr>
          <w:rFonts w:ascii="Times New Roman" w:eastAsia="Calibri" w:hAnsi="Times New Roman" w:cs="Times New Roman"/>
          <w:sz w:val="24"/>
          <w:szCs w:val="24"/>
        </w:rPr>
      </w:pPr>
      <w:r w:rsidRPr="00327198">
        <w:rPr>
          <w:rFonts w:ascii="Times New Roman" w:eastAsia="Calibri" w:hAnsi="Times New Roman" w:cs="Times New Roman"/>
          <w:sz w:val="24"/>
          <w:szCs w:val="24"/>
        </w:rPr>
        <w:t xml:space="preserve">- u odnosu na udio nabave u projektu: ako je veći od 33%. Ukoliko PT2 ocijeni kako je isto potrebno, može primijeniti i stroži kriterij (umanjiti % udio nabave u vrijednosti projekta): ne -  dodjeljuje se 0 bodova / da – dodjeljuju se 2 boda </w:t>
      </w:r>
    </w:p>
    <w:p w14:paraId="3B7AE982" w14:textId="2B89D66A" w:rsidR="001F00AB" w:rsidRPr="00327198" w:rsidRDefault="00D15C86" w:rsidP="001F00AB">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001F00AB" w:rsidRPr="00327198">
        <w:rPr>
          <w:rFonts w:ascii="Times New Roman" w:eastAsia="Calibri" w:hAnsi="Times New Roman" w:cs="Times New Roman"/>
          <w:sz w:val="24"/>
          <w:szCs w:val="24"/>
        </w:rPr>
        <w:t>u odnosu na vrstu nabave: za otvoreni postupak  dodjeljuje se 0 bodova, za ostale postupke dodjeljuju se 2 boda</w:t>
      </w:r>
    </w:p>
    <w:p w14:paraId="755CF199" w14:textId="5DE4880D" w:rsidR="001F00AB" w:rsidRDefault="001F00AB" w:rsidP="001F00AB">
      <w:pPr>
        <w:jc w:val="both"/>
        <w:rPr>
          <w:rFonts w:ascii="Times New Roman" w:eastAsia="Calibri" w:hAnsi="Times New Roman" w:cs="Times New Roman"/>
          <w:sz w:val="24"/>
          <w:szCs w:val="24"/>
        </w:rPr>
      </w:pPr>
      <w:r w:rsidRPr="00327198">
        <w:rPr>
          <w:rFonts w:ascii="Times New Roman" w:eastAsia="Calibri" w:hAnsi="Times New Roman" w:cs="Times New Roman"/>
          <w:sz w:val="24"/>
          <w:szCs w:val="24"/>
        </w:rPr>
        <w:t>- financijske korekcije koje su korisniku određene u vezi provođenja postupka nabave u zadnje dvije godine</w:t>
      </w:r>
      <w:r w:rsidR="00AB4612">
        <w:rPr>
          <w:rStyle w:val="FootnoteReference"/>
          <w:rFonts w:ascii="Times New Roman" w:eastAsia="Calibri" w:hAnsi="Times New Roman" w:cs="Times New Roman"/>
          <w:sz w:val="24"/>
          <w:szCs w:val="24"/>
        </w:rPr>
        <w:footnoteReference w:id="8"/>
      </w:r>
      <w:r w:rsidRPr="00327198">
        <w:rPr>
          <w:rFonts w:ascii="Times New Roman" w:eastAsia="Calibri" w:hAnsi="Times New Roman" w:cs="Times New Roman"/>
          <w:sz w:val="24"/>
          <w:szCs w:val="24"/>
        </w:rPr>
        <w:t xml:space="preserve">, a koje PT2 može potvrditi u </w:t>
      </w:r>
      <w:r w:rsidR="00BA7CFC">
        <w:rPr>
          <w:rFonts w:ascii="Times New Roman" w:eastAsia="Calibri" w:hAnsi="Times New Roman" w:cs="Times New Roman"/>
          <w:sz w:val="24"/>
          <w:szCs w:val="24"/>
        </w:rPr>
        <w:t>okviru</w:t>
      </w:r>
      <w:r w:rsidRPr="00327198">
        <w:rPr>
          <w:rFonts w:ascii="Times New Roman" w:eastAsia="Calibri" w:hAnsi="Times New Roman" w:cs="Times New Roman"/>
          <w:sz w:val="24"/>
          <w:szCs w:val="24"/>
        </w:rPr>
        <w:t xml:space="preserve"> svog registra nepravilnosti:  ne -  dodjeljuje se 0 bodova / da – dodjeljuju se 2 boda.</w:t>
      </w:r>
    </w:p>
    <w:p w14:paraId="564E9D2A" w14:textId="2317626E" w:rsidR="00D15C86" w:rsidRPr="00ED4C9C" w:rsidRDefault="00D15C86" w:rsidP="00D15C86">
      <w:pPr>
        <w:spacing w:line="256" w:lineRule="auto"/>
        <w:jc w:val="both"/>
        <w:rPr>
          <w:rFonts w:ascii="Times New Roman" w:eastAsia="Calibri" w:hAnsi="Times New Roman" w:cs="Times New Roman"/>
          <w:sz w:val="24"/>
          <w:szCs w:val="24"/>
        </w:rPr>
      </w:pPr>
      <w:r w:rsidRPr="00ED4C9C">
        <w:rPr>
          <w:rFonts w:ascii="Times New Roman" w:eastAsia="Calibri" w:hAnsi="Times New Roman" w:cs="Times New Roman"/>
          <w:sz w:val="24"/>
          <w:szCs w:val="24"/>
        </w:rPr>
        <w:t xml:space="preserve">Sve nabave koje po navedenoj metodologiji dosegnu 6 ili više bodova, </w:t>
      </w:r>
      <w:r w:rsidR="004C6D1E">
        <w:rPr>
          <w:rFonts w:ascii="Times New Roman" w:eastAsia="Calibri" w:hAnsi="Times New Roman" w:cs="Times New Roman"/>
          <w:sz w:val="24"/>
          <w:szCs w:val="24"/>
        </w:rPr>
        <w:t>PT2</w:t>
      </w:r>
      <w:r>
        <w:rPr>
          <w:rFonts w:ascii="Times New Roman" w:eastAsia="Calibri" w:hAnsi="Times New Roman" w:cs="Times New Roman"/>
          <w:sz w:val="24"/>
          <w:szCs w:val="24"/>
        </w:rPr>
        <w:t xml:space="preserve"> provjerava ex-post.</w:t>
      </w:r>
    </w:p>
    <w:p w14:paraId="09AD5E77" w14:textId="5BD06106" w:rsidR="001F00AB" w:rsidRDefault="001F00AB" w:rsidP="001F00AB">
      <w:pPr>
        <w:jc w:val="both"/>
        <w:rPr>
          <w:rFonts w:ascii="Times New Roman" w:eastAsia="Calibri" w:hAnsi="Times New Roman" w:cs="Times New Roman"/>
          <w:sz w:val="24"/>
          <w:szCs w:val="24"/>
        </w:rPr>
      </w:pPr>
      <w:r>
        <w:rPr>
          <w:rFonts w:ascii="Times New Roman" w:eastAsia="Calibri" w:hAnsi="Times New Roman" w:cs="Times New Roman"/>
          <w:sz w:val="24"/>
          <w:szCs w:val="24"/>
        </w:rPr>
        <w:t>Prilikom analize rizika kori</w:t>
      </w:r>
      <w:r w:rsidR="008D0BFC">
        <w:rPr>
          <w:rFonts w:ascii="Times New Roman" w:eastAsia="Calibri" w:hAnsi="Times New Roman" w:cs="Times New Roman"/>
          <w:sz w:val="24"/>
          <w:szCs w:val="24"/>
        </w:rPr>
        <w:t>sti se kontrolna lista</w:t>
      </w:r>
      <w:r w:rsidR="007757E7">
        <w:rPr>
          <w:rFonts w:ascii="Times New Roman" w:eastAsia="Calibri" w:hAnsi="Times New Roman" w:cs="Times New Roman"/>
          <w:sz w:val="24"/>
          <w:szCs w:val="24"/>
        </w:rPr>
        <w:t xml:space="preserve"> iz</w:t>
      </w:r>
      <w:r w:rsidR="008D0BFC">
        <w:rPr>
          <w:rFonts w:ascii="Times New Roman" w:eastAsia="Calibri" w:hAnsi="Times New Roman" w:cs="Times New Roman"/>
          <w:sz w:val="24"/>
          <w:szCs w:val="24"/>
        </w:rPr>
        <w:t xml:space="preserve"> Prilog</w:t>
      </w:r>
      <w:r w:rsidR="007757E7">
        <w:rPr>
          <w:rFonts w:ascii="Times New Roman" w:eastAsia="Calibri" w:hAnsi="Times New Roman" w:cs="Times New Roman"/>
          <w:sz w:val="24"/>
          <w:szCs w:val="24"/>
        </w:rPr>
        <w:t>a</w:t>
      </w:r>
      <w:r w:rsidR="008D0BFC">
        <w:rPr>
          <w:rFonts w:ascii="Times New Roman" w:eastAsia="Calibri" w:hAnsi="Times New Roman" w:cs="Times New Roman"/>
          <w:sz w:val="24"/>
          <w:szCs w:val="24"/>
        </w:rPr>
        <w:t xml:space="preserve"> 20</w:t>
      </w:r>
      <w:r>
        <w:rPr>
          <w:rFonts w:ascii="Times New Roman" w:eastAsia="Calibri" w:hAnsi="Times New Roman" w:cs="Times New Roman"/>
          <w:sz w:val="24"/>
          <w:szCs w:val="24"/>
        </w:rPr>
        <w:t xml:space="preserve"> ovog poglavlja.</w:t>
      </w:r>
    </w:p>
    <w:p w14:paraId="6143F584" w14:textId="4BC9690F" w:rsidR="00AB4612" w:rsidRDefault="00AB4612" w:rsidP="001F00AB">
      <w:pPr>
        <w:jc w:val="both"/>
        <w:rPr>
          <w:rFonts w:ascii="Times New Roman" w:eastAsia="Calibri" w:hAnsi="Times New Roman" w:cs="Times New Roman"/>
          <w:sz w:val="24"/>
          <w:szCs w:val="24"/>
        </w:rPr>
      </w:pPr>
      <w:r w:rsidRPr="002F0218">
        <w:rPr>
          <w:rFonts w:ascii="Times New Roman" w:eastAsia="Calibri" w:hAnsi="Times New Roman" w:cs="Times New Roman"/>
          <w:sz w:val="24"/>
          <w:szCs w:val="24"/>
        </w:rPr>
        <w:t>Primjena strožeg kriterija (kako je navedeno za kriterije grupa nabava i udjela nabave u projektu) ovisi o j ocjeni PT2 u odnosi na port</w:t>
      </w:r>
      <w:r w:rsidR="007757E7">
        <w:rPr>
          <w:rFonts w:ascii="Times New Roman" w:eastAsia="Calibri" w:hAnsi="Times New Roman" w:cs="Times New Roman"/>
          <w:sz w:val="24"/>
          <w:szCs w:val="24"/>
        </w:rPr>
        <w:t>felj</w:t>
      </w:r>
      <w:r w:rsidRPr="002F0218">
        <w:rPr>
          <w:rFonts w:ascii="Times New Roman" w:eastAsia="Calibri" w:hAnsi="Times New Roman" w:cs="Times New Roman"/>
          <w:sz w:val="24"/>
          <w:szCs w:val="24"/>
        </w:rPr>
        <w:t xml:space="preserve"> nabava u Planu nabave koji se pregledava. Može se koristiti kako bi se potencijalno dobio veći uzorak.</w:t>
      </w:r>
    </w:p>
    <w:p w14:paraId="3614FE0E" w14:textId="77777777" w:rsidR="00C5380A" w:rsidRPr="007757E7" w:rsidRDefault="00C5380A" w:rsidP="007757E7">
      <w:pPr>
        <w:pStyle w:val="ListParagraph"/>
        <w:jc w:val="both"/>
        <w:rPr>
          <w:rFonts w:ascii="Times New Roman" w:eastAsia="Calibri" w:hAnsi="Times New Roman" w:cs="Times New Roman"/>
          <w:b/>
          <w:sz w:val="24"/>
          <w:szCs w:val="24"/>
        </w:rPr>
      </w:pPr>
    </w:p>
    <w:p w14:paraId="070FA29D" w14:textId="77777777" w:rsidR="00D15C86" w:rsidRPr="00D15C86" w:rsidRDefault="00D15C86" w:rsidP="007757E7">
      <w:pPr>
        <w:pStyle w:val="ListParagraph"/>
        <w:numPr>
          <w:ilvl w:val="0"/>
          <w:numId w:val="1"/>
        </w:numPr>
        <w:jc w:val="both"/>
        <w:rPr>
          <w:rFonts w:ascii="Times New Roman" w:eastAsia="Calibri" w:hAnsi="Times New Roman" w:cs="Times New Roman"/>
          <w:b/>
          <w:sz w:val="24"/>
          <w:szCs w:val="24"/>
        </w:rPr>
      </w:pPr>
      <w:r w:rsidRPr="00D15C86">
        <w:rPr>
          <w:rFonts w:ascii="Times New Roman" w:eastAsia="Calibri" w:hAnsi="Times New Roman" w:cs="Times New Roman"/>
          <w:b/>
          <w:sz w:val="24"/>
          <w:szCs w:val="24"/>
        </w:rPr>
        <w:lastRenderedPageBreak/>
        <w:t>Objedinjene nabave gdje dio stavaka/predmeta nabave nije EU financiran</w:t>
      </w:r>
    </w:p>
    <w:p w14:paraId="1A31ED96" w14:textId="4FF56BE0" w:rsidR="00AA4575" w:rsidRDefault="00D15C86" w:rsidP="007757E7">
      <w:pPr>
        <w:jc w:val="both"/>
        <w:rPr>
          <w:rFonts w:ascii="Times New Roman" w:eastAsia="Calibri" w:hAnsi="Times New Roman" w:cs="Times New Roman"/>
          <w:sz w:val="24"/>
          <w:szCs w:val="24"/>
        </w:rPr>
      </w:pPr>
      <w:r w:rsidRPr="00D61F56">
        <w:rPr>
          <w:rFonts w:ascii="Times New Roman" w:eastAsia="Calibri" w:hAnsi="Times New Roman" w:cs="Times New Roman"/>
          <w:sz w:val="24"/>
          <w:szCs w:val="24"/>
        </w:rPr>
        <w:t>Ukoliko Plan nabave predviđa objedinjenu/e nabavu/e (nabave gdje dio stavaka/predmeta nabave nije EU financiran), u analizu rizika se kao relevantan uzima samo udio vrijednosti/predmet/grupe/lokacije koje se odnose na</w:t>
      </w:r>
      <w:r w:rsidR="00AB4612">
        <w:rPr>
          <w:rFonts w:ascii="Times New Roman" w:eastAsia="Calibri" w:hAnsi="Times New Roman" w:cs="Times New Roman"/>
          <w:sz w:val="24"/>
          <w:szCs w:val="24"/>
        </w:rPr>
        <w:t xml:space="preserve"> prihvatljive troškove</w:t>
      </w:r>
      <w:r w:rsidRPr="00D61F56">
        <w:rPr>
          <w:rFonts w:ascii="Times New Roman" w:eastAsia="Calibri" w:hAnsi="Times New Roman" w:cs="Times New Roman"/>
          <w:sz w:val="24"/>
          <w:szCs w:val="24"/>
        </w:rPr>
        <w:t xml:space="preserve"> EU sufinanciran</w:t>
      </w:r>
      <w:r w:rsidR="00AB4612">
        <w:rPr>
          <w:rFonts w:ascii="Times New Roman" w:eastAsia="Calibri" w:hAnsi="Times New Roman" w:cs="Times New Roman"/>
          <w:sz w:val="24"/>
          <w:szCs w:val="24"/>
        </w:rPr>
        <w:t>og</w:t>
      </w:r>
      <w:r w:rsidRPr="00D61F56">
        <w:rPr>
          <w:rFonts w:ascii="Times New Roman" w:eastAsia="Calibri" w:hAnsi="Times New Roman" w:cs="Times New Roman"/>
          <w:sz w:val="24"/>
          <w:szCs w:val="24"/>
        </w:rPr>
        <w:t xml:space="preserve"> projekt</w:t>
      </w:r>
      <w:r w:rsidR="00AB4612">
        <w:rPr>
          <w:rFonts w:ascii="Times New Roman" w:eastAsia="Calibri" w:hAnsi="Times New Roman" w:cs="Times New Roman"/>
          <w:sz w:val="24"/>
          <w:szCs w:val="24"/>
        </w:rPr>
        <w:t>a</w:t>
      </w:r>
      <w:r>
        <w:rPr>
          <w:rFonts w:ascii="Times New Roman" w:eastAsia="Calibri" w:hAnsi="Times New Roman" w:cs="Times New Roman"/>
          <w:sz w:val="24"/>
          <w:szCs w:val="24"/>
        </w:rPr>
        <w:t>.</w:t>
      </w:r>
    </w:p>
    <w:p w14:paraId="5E632F68" w14:textId="77777777" w:rsidR="00C5380A" w:rsidRPr="007757E7" w:rsidRDefault="00C5380A" w:rsidP="007757E7">
      <w:pPr>
        <w:pStyle w:val="ListParagraph"/>
        <w:jc w:val="both"/>
        <w:rPr>
          <w:rFonts w:ascii="Times New Roman" w:eastAsia="Calibri" w:hAnsi="Times New Roman" w:cs="Times New Roman"/>
          <w:b/>
          <w:sz w:val="24"/>
          <w:szCs w:val="24"/>
        </w:rPr>
      </w:pPr>
    </w:p>
    <w:p w14:paraId="1BE5EAFE" w14:textId="26E429F0" w:rsidR="00AA4575" w:rsidRPr="00D61F56" w:rsidRDefault="00AA4575" w:rsidP="007757E7">
      <w:pPr>
        <w:pStyle w:val="ListParagraph"/>
        <w:numPr>
          <w:ilvl w:val="0"/>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 xml:space="preserve"> Dodatno uzorkovanje</w:t>
      </w:r>
      <w:r w:rsidR="009150CC">
        <w:rPr>
          <w:rFonts w:ascii="Times New Roman" w:eastAsia="Calibri" w:hAnsi="Times New Roman" w:cs="Times New Roman"/>
          <w:b/>
          <w:sz w:val="24"/>
          <w:szCs w:val="24"/>
        </w:rPr>
        <w:t xml:space="preserve"> prilikom odabira inicijalne liste za ex-post provjeru</w:t>
      </w:r>
    </w:p>
    <w:p w14:paraId="6249997D" w14:textId="69B3F769" w:rsidR="00DD7BA3" w:rsidRDefault="00AA4575" w:rsidP="00AA4575">
      <w:pPr>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Uz nabave </w:t>
      </w:r>
      <w:r w:rsidR="007757E7">
        <w:rPr>
          <w:rFonts w:ascii="Times New Roman" w:eastAsia="Calibri" w:hAnsi="Times New Roman" w:cs="Times New Roman"/>
          <w:sz w:val="24"/>
          <w:szCs w:val="24"/>
        </w:rPr>
        <w:t>koje su ušle u uzorak na temelju metodologije opisane u točkama 6.1. i 6.2.</w:t>
      </w:r>
      <w:r>
        <w:rPr>
          <w:rFonts w:ascii="Times New Roman" w:eastAsia="Calibri" w:hAnsi="Times New Roman" w:cs="Times New Roman"/>
          <w:sz w:val="24"/>
          <w:szCs w:val="24"/>
        </w:rPr>
        <w:t>, PT2</w:t>
      </w:r>
      <w:r w:rsidR="00B90746">
        <w:rPr>
          <w:rFonts w:ascii="Times New Roman" w:eastAsia="Calibri" w:hAnsi="Times New Roman" w:cs="Times New Roman"/>
          <w:sz w:val="24"/>
          <w:szCs w:val="24"/>
        </w:rPr>
        <w:t xml:space="preserve"> dodatno </w:t>
      </w:r>
      <w:r w:rsidR="00B90746" w:rsidRPr="00B90746">
        <w:rPr>
          <w:rFonts w:ascii="Times New Roman" w:eastAsia="Calibri" w:hAnsi="Times New Roman" w:cs="Times New Roman"/>
          <w:sz w:val="24"/>
          <w:szCs w:val="24"/>
        </w:rPr>
        <w:t>odabire</w:t>
      </w:r>
      <w:r w:rsidRPr="00B90746">
        <w:rPr>
          <w:rFonts w:ascii="Times New Roman" w:eastAsia="Calibri" w:hAnsi="Times New Roman" w:cs="Times New Roman"/>
          <w:sz w:val="24"/>
          <w:szCs w:val="24"/>
        </w:rPr>
        <w:t xml:space="preserve"> </w:t>
      </w:r>
      <w:r w:rsidR="00B90746" w:rsidRPr="00D61F56">
        <w:rPr>
          <w:rFonts w:ascii="Times New Roman" w:eastAsia="Calibri" w:hAnsi="Times New Roman" w:cs="Times New Roman"/>
          <w:sz w:val="24"/>
          <w:szCs w:val="24"/>
        </w:rPr>
        <w:t>3% ili najmanje jednu</w:t>
      </w:r>
      <w:r w:rsidR="00B90746" w:rsidRPr="00B90746">
        <w:rPr>
          <w:rFonts w:ascii="Times New Roman" w:eastAsia="Calibri" w:hAnsi="Times New Roman" w:cs="Times New Roman"/>
          <w:sz w:val="24"/>
          <w:szCs w:val="24"/>
        </w:rPr>
        <w:t xml:space="preserve"> (u slučajevima kada je 3% postupaka manje od jedne) od preostalih nabava </w:t>
      </w:r>
      <w:r w:rsidR="00B90746" w:rsidRPr="00D61F56">
        <w:rPr>
          <w:rFonts w:ascii="Times New Roman" w:eastAsia="Calibri" w:hAnsi="Times New Roman" w:cs="Times New Roman"/>
          <w:sz w:val="24"/>
          <w:szCs w:val="24"/>
        </w:rPr>
        <w:t>temeljem nasumičnog odabira</w:t>
      </w:r>
      <w:r w:rsidR="0052082F">
        <w:rPr>
          <w:rFonts w:ascii="Times New Roman" w:eastAsia="Calibri" w:hAnsi="Times New Roman" w:cs="Times New Roman"/>
          <w:sz w:val="24"/>
          <w:szCs w:val="24"/>
        </w:rPr>
        <w:t xml:space="preserve"> </w:t>
      </w:r>
      <w:r w:rsidR="0052082F" w:rsidRPr="0052082F">
        <w:rPr>
          <w:rFonts w:ascii="Times New Roman" w:eastAsia="Calibri" w:hAnsi="Times New Roman" w:cs="Times New Roman"/>
          <w:sz w:val="24"/>
          <w:szCs w:val="24"/>
        </w:rPr>
        <w:t>(nasumični odabir se može i ne mora temeljiti na procijenjenoj vrijednosti nabave).</w:t>
      </w:r>
      <w:r w:rsidRPr="00B90746">
        <w:rPr>
          <w:rFonts w:ascii="Times New Roman" w:eastAsia="Calibri" w:hAnsi="Times New Roman" w:cs="Times New Roman"/>
          <w:sz w:val="24"/>
          <w:szCs w:val="24"/>
        </w:rPr>
        <w:t>.</w:t>
      </w:r>
    </w:p>
    <w:p w14:paraId="3E6B034D" w14:textId="77777777" w:rsidR="007757E7" w:rsidRDefault="007757E7" w:rsidP="00AA4575">
      <w:pPr>
        <w:contextualSpacing/>
        <w:jc w:val="both"/>
        <w:rPr>
          <w:rFonts w:ascii="Times New Roman" w:eastAsia="Calibri" w:hAnsi="Times New Roman" w:cs="Times New Roman"/>
          <w:sz w:val="24"/>
          <w:szCs w:val="24"/>
        </w:rPr>
      </w:pPr>
    </w:p>
    <w:p w14:paraId="0A77D401" w14:textId="6BDDFB43" w:rsidR="00AA4575" w:rsidRDefault="00AA4575" w:rsidP="00AA4575">
      <w:pPr>
        <w:jc w:val="both"/>
        <w:rPr>
          <w:rFonts w:ascii="Times New Roman" w:eastAsia="Calibri" w:hAnsi="Times New Roman" w:cs="Times New Roman"/>
          <w:sz w:val="24"/>
          <w:szCs w:val="24"/>
        </w:rPr>
      </w:pPr>
      <w:r w:rsidRPr="00AA4575">
        <w:rPr>
          <w:rFonts w:ascii="Times New Roman" w:eastAsia="Calibri" w:hAnsi="Times New Roman" w:cs="Times New Roman"/>
          <w:sz w:val="24"/>
          <w:szCs w:val="24"/>
        </w:rPr>
        <w:t>Tijelo ima pravo, u odnosu na procjenu i radnu opterećenost djelatnika povećati uzorak pregleda u odnosu na minimalno traženi</w:t>
      </w:r>
      <w:r>
        <w:rPr>
          <w:rFonts w:ascii="Times New Roman" w:eastAsia="Calibri" w:hAnsi="Times New Roman" w:cs="Times New Roman"/>
          <w:sz w:val="24"/>
          <w:szCs w:val="24"/>
        </w:rPr>
        <w:t xml:space="preserve"> (npr. uzimanjem na pregled jednostavnu/e nabavu/e)</w:t>
      </w:r>
      <w:r w:rsidR="003A6E50">
        <w:rPr>
          <w:rFonts w:ascii="Times New Roman" w:eastAsia="Calibri" w:hAnsi="Times New Roman" w:cs="Times New Roman"/>
          <w:sz w:val="24"/>
          <w:szCs w:val="24"/>
        </w:rPr>
        <w:t xml:space="preserve"> nasumičnim odabirom temeljenim na</w:t>
      </w:r>
      <w:r w:rsidR="007757E7">
        <w:rPr>
          <w:rFonts w:ascii="Times New Roman" w:eastAsia="Calibri" w:hAnsi="Times New Roman" w:cs="Times New Roman"/>
          <w:sz w:val="24"/>
          <w:szCs w:val="24"/>
        </w:rPr>
        <w:t xml:space="preserve"> objektivnoj</w:t>
      </w:r>
      <w:r w:rsidR="003A6E50">
        <w:rPr>
          <w:rFonts w:ascii="Times New Roman" w:eastAsia="Calibri" w:hAnsi="Times New Roman" w:cs="Times New Roman"/>
          <w:sz w:val="24"/>
          <w:szCs w:val="24"/>
        </w:rPr>
        <w:t xml:space="preserve"> procjeni osobe koja </w:t>
      </w:r>
      <w:r w:rsidR="007757E7">
        <w:rPr>
          <w:rFonts w:ascii="Times New Roman" w:eastAsia="Calibri" w:hAnsi="Times New Roman" w:cs="Times New Roman"/>
          <w:sz w:val="24"/>
          <w:szCs w:val="24"/>
        </w:rPr>
        <w:t>obavlja</w:t>
      </w:r>
      <w:r w:rsidR="003A6E50">
        <w:rPr>
          <w:rFonts w:ascii="Times New Roman" w:eastAsia="Calibri" w:hAnsi="Times New Roman" w:cs="Times New Roman"/>
          <w:sz w:val="24"/>
          <w:szCs w:val="24"/>
        </w:rPr>
        <w:t xml:space="preserve"> analizu</w:t>
      </w:r>
      <w:r w:rsidRPr="00AA4575">
        <w:rPr>
          <w:rFonts w:ascii="Times New Roman" w:eastAsia="Calibri" w:hAnsi="Times New Roman" w:cs="Times New Roman"/>
          <w:sz w:val="24"/>
          <w:szCs w:val="24"/>
        </w:rPr>
        <w:t>.</w:t>
      </w:r>
    </w:p>
    <w:p w14:paraId="4F5FDBA3" w14:textId="0B9AED4D" w:rsidR="00AB4612" w:rsidRDefault="00AB4612" w:rsidP="00AB4612">
      <w:pPr>
        <w:jc w:val="both"/>
        <w:rPr>
          <w:rFonts w:ascii="Times New Roman" w:eastAsia="Calibri" w:hAnsi="Times New Roman" w:cs="Times New Roman"/>
          <w:sz w:val="24"/>
          <w:szCs w:val="24"/>
        </w:rPr>
      </w:pPr>
      <w:r>
        <w:rPr>
          <w:rFonts w:ascii="Times New Roman" w:eastAsia="Calibri" w:hAnsi="Times New Roman" w:cs="Times New Roman"/>
          <w:sz w:val="24"/>
          <w:szCs w:val="24"/>
        </w:rPr>
        <w:t>PT2 mo</w:t>
      </w:r>
      <w:r w:rsidR="007757E7">
        <w:rPr>
          <w:rFonts w:ascii="Times New Roman" w:eastAsia="Calibri" w:hAnsi="Times New Roman" w:cs="Times New Roman"/>
          <w:sz w:val="24"/>
          <w:szCs w:val="24"/>
        </w:rPr>
        <w:t>že</w:t>
      </w:r>
      <w:r>
        <w:rPr>
          <w:rFonts w:ascii="Times New Roman" w:eastAsia="Calibri" w:hAnsi="Times New Roman" w:cs="Times New Roman"/>
          <w:sz w:val="24"/>
          <w:szCs w:val="24"/>
        </w:rPr>
        <w:t xml:space="preserve"> raspisati dodatne kriterije </w:t>
      </w:r>
      <w:r w:rsidR="007757E7">
        <w:rPr>
          <w:rFonts w:ascii="Times New Roman" w:eastAsia="Calibri" w:hAnsi="Times New Roman" w:cs="Times New Roman"/>
          <w:sz w:val="24"/>
          <w:szCs w:val="24"/>
        </w:rPr>
        <w:t>u svrhu</w:t>
      </w:r>
      <w:r>
        <w:rPr>
          <w:rFonts w:ascii="Times New Roman" w:eastAsia="Calibri" w:hAnsi="Times New Roman" w:cs="Times New Roman"/>
          <w:sz w:val="24"/>
          <w:szCs w:val="24"/>
        </w:rPr>
        <w:t xml:space="preserve"> poveća</w:t>
      </w:r>
      <w:r w:rsidR="007757E7">
        <w:rPr>
          <w:rFonts w:ascii="Times New Roman" w:eastAsia="Calibri" w:hAnsi="Times New Roman" w:cs="Times New Roman"/>
          <w:sz w:val="24"/>
          <w:szCs w:val="24"/>
        </w:rPr>
        <w:t>nja</w:t>
      </w:r>
      <w:r>
        <w:rPr>
          <w:rFonts w:ascii="Times New Roman" w:eastAsia="Calibri" w:hAnsi="Times New Roman" w:cs="Times New Roman"/>
          <w:sz w:val="24"/>
          <w:szCs w:val="24"/>
        </w:rPr>
        <w:t xml:space="preserve"> uzor</w:t>
      </w:r>
      <w:r w:rsidR="007757E7">
        <w:rPr>
          <w:rFonts w:ascii="Times New Roman" w:eastAsia="Calibri" w:hAnsi="Times New Roman" w:cs="Times New Roman"/>
          <w:sz w:val="24"/>
          <w:szCs w:val="24"/>
        </w:rPr>
        <w:t>ka</w:t>
      </w:r>
      <w:r>
        <w:rPr>
          <w:rFonts w:ascii="Times New Roman" w:eastAsia="Calibri" w:hAnsi="Times New Roman" w:cs="Times New Roman"/>
          <w:sz w:val="24"/>
          <w:szCs w:val="24"/>
        </w:rPr>
        <w:t xml:space="preserve"> za provjeru u odnosu na onaj dobiven primjenom metodologije i</w:t>
      </w:r>
      <w:r w:rsidR="007757E7">
        <w:rPr>
          <w:rFonts w:ascii="Times New Roman" w:eastAsia="Calibri" w:hAnsi="Times New Roman" w:cs="Times New Roman"/>
          <w:sz w:val="24"/>
          <w:szCs w:val="24"/>
        </w:rPr>
        <w:t>z ovog P</w:t>
      </w:r>
      <w:r>
        <w:rPr>
          <w:rFonts w:ascii="Times New Roman" w:eastAsia="Calibri" w:hAnsi="Times New Roman" w:cs="Times New Roman"/>
          <w:sz w:val="24"/>
          <w:szCs w:val="24"/>
        </w:rPr>
        <w:t>riloga.</w:t>
      </w:r>
    </w:p>
    <w:p w14:paraId="518E540D" w14:textId="44B1996C" w:rsidR="00F34EAE" w:rsidRPr="002F0218" w:rsidRDefault="00F34EAE" w:rsidP="00AB4612">
      <w:pPr>
        <w:jc w:val="both"/>
        <w:rPr>
          <w:rFonts w:ascii="Times New Roman" w:eastAsia="Calibri" w:hAnsi="Times New Roman" w:cs="Times New Roman"/>
          <w:sz w:val="24"/>
          <w:szCs w:val="24"/>
        </w:rPr>
      </w:pPr>
      <w:r w:rsidRPr="00F34EAE">
        <w:rPr>
          <w:rFonts w:ascii="Times New Roman" w:eastAsia="Calibri" w:hAnsi="Times New Roman" w:cs="Times New Roman"/>
          <w:sz w:val="24"/>
          <w:szCs w:val="24"/>
        </w:rPr>
        <w:t xml:space="preserve">Ukoliko utvrdi potrebu za istim, PT2 ima pravo, ovisno </w:t>
      </w:r>
      <w:r w:rsidR="00263C2B">
        <w:rPr>
          <w:rFonts w:ascii="Times New Roman" w:eastAsia="Calibri" w:hAnsi="Times New Roman" w:cs="Times New Roman"/>
          <w:sz w:val="24"/>
          <w:szCs w:val="24"/>
        </w:rPr>
        <w:t xml:space="preserve">o </w:t>
      </w:r>
      <w:r w:rsidRPr="00F34EAE">
        <w:rPr>
          <w:rFonts w:ascii="Times New Roman" w:eastAsia="Calibri" w:hAnsi="Times New Roman" w:cs="Times New Roman"/>
          <w:sz w:val="24"/>
          <w:szCs w:val="24"/>
        </w:rPr>
        <w:t>okolnostima, odrediti drugačiji odgovarajući uzorak za dodatnu provjeru, i opisati u svom priručniku o postupanju, koju proceduru prethodno odobrava Upravljačko tijelo.</w:t>
      </w:r>
    </w:p>
    <w:p w14:paraId="1E1E9E32" w14:textId="77777777" w:rsidR="00C5380A" w:rsidRDefault="00C5380A" w:rsidP="00AA4575">
      <w:pPr>
        <w:jc w:val="both"/>
        <w:rPr>
          <w:rFonts w:ascii="Times New Roman" w:eastAsia="Calibri" w:hAnsi="Times New Roman" w:cs="Times New Roman"/>
          <w:sz w:val="24"/>
          <w:szCs w:val="24"/>
        </w:rPr>
      </w:pPr>
    </w:p>
    <w:p w14:paraId="3259B645" w14:textId="656373E7" w:rsidR="00AA4575" w:rsidRPr="00D61F56" w:rsidRDefault="00AA4575" w:rsidP="007757E7">
      <w:pPr>
        <w:pStyle w:val="ListParagraph"/>
        <w:numPr>
          <w:ilvl w:val="0"/>
          <w:numId w:val="1"/>
        </w:numPr>
        <w:jc w:val="both"/>
        <w:rPr>
          <w:rFonts w:ascii="Times New Roman" w:eastAsia="Calibri" w:hAnsi="Times New Roman" w:cs="Times New Roman"/>
          <w:b/>
          <w:sz w:val="24"/>
          <w:szCs w:val="24"/>
        </w:rPr>
      </w:pPr>
      <w:r w:rsidRPr="00D61F56">
        <w:rPr>
          <w:rFonts w:ascii="Times New Roman" w:eastAsia="Calibri" w:hAnsi="Times New Roman" w:cs="Times New Roman"/>
          <w:b/>
          <w:sz w:val="24"/>
          <w:szCs w:val="24"/>
        </w:rPr>
        <w:t>Dodatni odabir nabave/a koju/e je potrebno uključiti zbog utvrđivanja nepravilnosti u postupcima nabave tijekom provedbe projekta</w:t>
      </w:r>
    </w:p>
    <w:p w14:paraId="4B844A64" w14:textId="713B2984" w:rsidR="00B90746" w:rsidRDefault="00B90746" w:rsidP="00D60AC3">
      <w:pPr>
        <w:jc w:val="both"/>
        <w:rPr>
          <w:rFonts w:ascii="Times New Roman" w:eastAsia="Calibri" w:hAnsi="Times New Roman" w:cs="Times New Roman"/>
          <w:sz w:val="24"/>
          <w:szCs w:val="24"/>
        </w:rPr>
      </w:pPr>
      <w:r w:rsidRPr="00D61F56">
        <w:rPr>
          <w:rFonts w:ascii="Times New Roman" w:eastAsia="Calibri" w:hAnsi="Times New Roman" w:cs="Times New Roman"/>
          <w:sz w:val="24"/>
          <w:szCs w:val="24"/>
        </w:rPr>
        <w:t>U slučaju kada PT2 tijekom provjere postup</w:t>
      </w:r>
      <w:r w:rsidR="00D60AC3">
        <w:rPr>
          <w:rFonts w:ascii="Times New Roman" w:eastAsia="Calibri" w:hAnsi="Times New Roman" w:cs="Times New Roman"/>
          <w:sz w:val="24"/>
          <w:szCs w:val="24"/>
        </w:rPr>
        <w:t>ka</w:t>
      </w:r>
      <w:r w:rsidRPr="00D61F56">
        <w:rPr>
          <w:rFonts w:ascii="Times New Roman" w:eastAsia="Calibri" w:hAnsi="Times New Roman" w:cs="Times New Roman"/>
          <w:sz w:val="24"/>
          <w:szCs w:val="24"/>
        </w:rPr>
        <w:t xml:space="preserve"> nabave koj</w:t>
      </w:r>
      <w:r w:rsidR="00D60AC3">
        <w:rPr>
          <w:rFonts w:ascii="Times New Roman" w:eastAsia="Calibri" w:hAnsi="Times New Roman" w:cs="Times New Roman"/>
          <w:sz w:val="24"/>
          <w:szCs w:val="24"/>
        </w:rPr>
        <w:t>i</w:t>
      </w:r>
      <w:r w:rsidRPr="00D61F56">
        <w:rPr>
          <w:rFonts w:ascii="Times New Roman" w:eastAsia="Calibri" w:hAnsi="Times New Roman" w:cs="Times New Roman"/>
          <w:sz w:val="24"/>
          <w:szCs w:val="24"/>
        </w:rPr>
        <w:t xml:space="preserve"> je proveo korisnik utvrdi nepravilnosti, potrebno je, temeljem zadnjeg izmijenjenog/dopunjenog plana nabave koj</w:t>
      </w:r>
      <w:r w:rsidR="00D60AC3">
        <w:rPr>
          <w:rFonts w:ascii="Times New Roman" w:eastAsia="Calibri" w:hAnsi="Times New Roman" w:cs="Times New Roman"/>
          <w:sz w:val="24"/>
          <w:szCs w:val="24"/>
        </w:rPr>
        <w:t>i</w:t>
      </w:r>
      <w:r w:rsidRPr="00D61F56">
        <w:rPr>
          <w:rFonts w:ascii="Times New Roman" w:eastAsia="Calibri" w:hAnsi="Times New Roman" w:cs="Times New Roman"/>
          <w:sz w:val="24"/>
          <w:szCs w:val="24"/>
        </w:rPr>
        <w:t xml:space="preserve"> korisnik ima obvezu dostavljati tijekom provedbe projekta, ponovo utvrditi broj nabava koje će biti predmetom ex-post provjere </w:t>
      </w:r>
      <w:r w:rsidR="00D60AC3">
        <w:rPr>
          <w:rFonts w:ascii="Times New Roman" w:eastAsia="Calibri" w:hAnsi="Times New Roman" w:cs="Times New Roman"/>
          <w:sz w:val="24"/>
          <w:szCs w:val="24"/>
        </w:rPr>
        <w:t>.</w:t>
      </w:r>
    </w:p>
    <w:p w14:paraId="0067F70B" w14:textId="77777777" w:rsidR="00B90746" w:rsidRDefault="00B90746" w:rsidP="00D60AC3">
      <w:pPr>
        <w:jc w:val="both"/>
        <w:rPr>
          <w:rFonts w:ascii="Times New Roman" w:eastAsia="Calibri" w:hAnsi="Times New Roman" w:cs="Times New Roman"/>
          <w:sz w:val="24"/>
          <w:szCs w:val="24"/>
        </w:rPr>
      </w:pPr>
      <w:r w:rsidRPr="00D61F56">
        <w:rPr>
          <w:rFonts w:ascii="Times New Roman" w:eastAsia="Calibri" w:hAnsi="Times New Roman" w:cs="Times New Roman"/>
          <w:sz w:val="24"/>
          <w:szCs w:val="24"/>
        </w:rPr>
        <w:t xml:space="preserve">Dodatne nabave koje je na taj način potrebno uključiti u analizu rizika ne odnose se na nabave temeljem kojih je PT2 u postupku provjere zahtjeva za nadoknadom sredstava - dostavljenog/ih do trenutka donošenja odluke o nepravilnosti za nabavu na kojoj je (sumnja) na nepravilnost utvrđena - djelomično ili u potpunosti odobrio troškove. </w:t>
      </w:r>
    </w:p>
    <w:p w14:paraId="55F0CF15" w14:textId="2F7D1872" w:rsidR="00B90746" w:rsidRPr="00D61F56" w:rsidRDefault="00B90746" w:rsidP="00D60AC3">
      <w:pPr>
        <w:jc w:val="both"/>
        <w:rPr>
          <w:rFonts w:ascii="Times New Roman" w:eastAsia="Calibri" w:hAnsi="Times New Roman" w:cs="Times New Roman"/>
          <w:sz w:val="24"/>
          <w:szCs w:val="24"/>
        </w:rPr>
      </w:pPr>
      <w:r w:rsidRPr="00D61F56">
        <w:rPr>
          <w:rFonts w:ascii="Times New Roman" w:eastAsia="Calibri" w:hAnsi="Times New Roman" w:cs="Times New Roman"/>
          <w:sz w:val="24"/>
          <w:szCs w:val="24"/>
        </w:rPr>
        <w:t>Voditelj projekta će utvrditi broj dodatnih nabava koje će biti predmetom ex-post pregleda u roku od 10 radnih dana od datuma donošenja odluke o nepravilnosti za nabave na kojima je utvrđena nepravilnost, uzimajući u obzir sljedeće:</w:t>
      </w:r>
    </w:p>
    <w:p w14:paraId="07DE327F" w14:textId="00102186" w:rsidR="00B90746" w:rsidRPr="00B90746" w:rsidRDefault="00B90746" w:rsidP="00D61F56">
      <w:pPr>
        <w:pStyle w:val="ListParagraph"/>
        <w:numPr>
          <w:ilvl w:val="0"/>
          <w:numId w:val="16"/>
        </w:numPr>
        <w:jc w:val="both"/>
        <w:rPr>
          <w:rFonts w:ascii="Times New Roman" w:eastAsia="Calibri" w:hAnsi="Times New Roman" w:cs="Times New Roman"/>
          <w:sz w:val="24"/>
          <w:szCs w:val="24"/>
        </w:rPr>
      </w:pPr>
      <w:r w:rsidRPr="00B90746">
        <w:rPr>
          <w:rFonts w:ascii="Times New Roman" w:eastAsia="Calibri" w:hAnsi="Times New Roman" w:cs="Times New Roman"/>
          <w:sz w:val="24"/>
          <w:szCs w:val="24"/>
        </w:rPr>
        <w:t xml:space="preserve">U slučaju donošenja odluke o nepravilnosti koja uključuje neprihvatljive troškove (prema Pravilima o financijskim korekcijama ) u rasponu 1%- 25%: potrebno je uključiti </w:t>
      </w:r>
      <w:r w:rsidRPr="00B90746">
        <w:rPr>
          <w:rFonts w:ascii="Times New Roman" w:eastAsia="Calibri" w:hAnsi="Times New Roman" w:cs="Times New Roman"/>
          <w:sz w:val="24"/>
          <w:szCs w:val="24"/>
        </w:rPr>
        <w:lastRenderedPageBreak/>
        <w:t>jednu dodatnu nabavu najveće procijenjene vrijednosti u ispunjeni Prilog 2</w:t>
      </w:r>
      <w:r>
        <w:rPr>
          <w:rFonts w:ascii="Times New Roman" w:eastAsia="Calibri" w:hAnsi="Times New Roman" w:cs="Times New Roman"/>
          <w:sz w:val="24"/>
          <w:szCs w:val="24"/>
        </w:rPr>
        <w:t>0 ili 21</w:t>
      </w:r>
      <w:r w:rsidRPr="00B90746">
        <w:rPr>
          <w:rFonts w:ascii="Times New Roman" w:eastAsia="Calibri" w:hAnsi="Times New Roman" w:cs="Times New Roman"/>
          <w:sz w:val="24"/>
          <w:szCs w:val="24"/>
        </w:rPr>
        <w:t>. U slučaju utvrđivanja većeg broja nepravilnosti koje odgovaraju definiranom rasponu (na dvije ili više nabava u okviru projekta) potrebno je uključiti dvije dodatne nabave najveće procijenjene vrijednosti.</w:t>
      </w:r>
    </w:p>
    <w:p w14:paraId="7243DA85" w14:textId="05B4B1A8" w:rsidR="00B90746" w:rsidRPr="00B90746" w:rsidRDefault="00B90746" w:rsidP="00D61F56">
      <w:pPr>
        <w:pStyle w:val="ListParagraph"/>
        <w:numPr>
          <w:ilvl w:val="0"/>
          <w:numId w:val="16"/>
        </w:numPr>
        <w:jc w:val="both"/>
        <w:rPr>
          <w:rFonts w:ascii="Times New Roman" w:eastAsia="Calibri" w:hAnsi="Times New Roman" w:cs="Times New Roman"/>
          <w:sz w:val="24"/>
          <w:szCs w:val="24"/>
        </w:rPr>
      </w:pPr>
      <w:r w:rsidRPr="00B90746">
        <w:rPr>
          <w:rFonts w:ascii="Times New Roman" w:eastAsia="Calibri" w:hAnsi="Times New Roman" w:cs="Times New Roman"/>
          <w:sz w:val="24"/>
          <w:szCs w:val="24"/>
        </w:rPr>
        <w:t>U slučaju nepravilnosti koja uključuje neprihvatljive troškove (prema Pravilima o financijskim korekcijama) u rasponu 26% - 100%: potrebno je uključiti dvije dodatne nabave najveće procijenjene vrijednosti</w:t>
      </w:r>
      <w:r>
        <w:rPr>
          <w:rFonts w:ascii="Times New Roman" w:eastAsia="Calibri" w:hAnsi="Times New Roman" w:cs="Times New Roman"/>
          <w:sz w:val="24"/>
          <w:szCs w:val="24"/>
        </w:rPr>
        <w:t xml:space="preserve"> u ispunjeni Prilog 20 ili 21</w:t>
      </w:r>
      <w:r w:rsidRPr="00B90746">
        <w:rPr>
          <w:rFonts w:ascii="Times New Roman" w:eastAsia="Calibri" w:hAnsi="Times New Roman" w:cs="Times New Roman"/>
          <w:sz w:val="24"/>
          <w:szCs w:val="24"/>
        </w:rPr>
        <w:t>. U slučaju utvrđivanja većeg broja nepravilnosti koje odgovaraju definiranom rasponu (na dvije ili više nabava u okviru projekta) potrebno je uključiti tri dodatne nabave najveće procijenjene vrijednosti.</w:t>
      </w:r>
    </w:p>
    <w:p w14:paraId="7636881D" w14:textId="3748A3C3" w:rsidR="00FF3D46" w:rsidRDefault="00B90746" w:rsidP="00D60AC3">
      <w:pPr>
        <w:jc w:val="both"/>
        <w:rPr>
          <w:rFonts w:ascii="Times New Roman" w:eastAsia="Calibri" w:hAnsi="Times New Roman" w:cs="Times New Roman"/>
          <w:sz w:val="24"/>
          <w:szCs w:val="24"/>
        </w:rPr>
      </w:pPr>
      <w:r w:rsidRPr="00B90746">
        <w:rPr>
          <w:rFonts w:ascii="Times New Roman" w:eastAsia="Calibri" w:hAnsi="Times New Roman" w:cs="Times New Roman"/>
          <w:sz w:val="24"/>
          <w:szCs w:val="24"/>
        </w:rPr>
        <w:t>Ako je procijenjena vrijednost svih preostalih nabava do</w:t>
      </w:r>
      <w:r w:rsidR="00D60AC3">
        <w:rPr>
          <w:rFonts w:ascii="Times New Roman" w:eastAsia="Calibri" w:hAnsi="Times New Roman" w:cs="Times New Roman"/>
          <w:sz w:val="24"/>
          <w:szCs w:val="24"/>
        </w:rPr>
        <w:t xml:space="preserve"> 200.000,00 kn za robe i usluge i</w:t>
      </w:r>
      <w:r w:rsidRPr="00B90746">
        <w:rPr>
          <w:rFonts w:ascii="Times New Roman" w:eastAsia="Calibri" w:hAnsi="Times New Roman" w:cs="Times New Roman"/>
          <w:sz w:val="24"/>
          <w:szCs w:val="24"/>
        </w:rPr>
        <w:t xml:space="preserve"> do 500.000,00 kn za radove</w:t>
      </w:r>
      <w:r w:rsidR="00517917">
        <w:rPr>
          <w:rFonts w:ascii="Times New Roman" w:eastAsia="Calibri" w:hAnsi="Times New Roman" w:cs="Times New Roman"/>
          <w:sz w:val="24"/>
          <w:szCs w:val="24"/>
        </w:rPr>
        <w:t xml:space="preserve">, </w:t>
      </w:r>
      <w:r w:rsidRPr="00B90746">
        <w:rPr>
          <w:rFonts w:ascii="Times New Roman" w:eastAsia="Calibri" w:hAnsi="Times New Roman" w:cs="Times New Roman"/>
          <w:sz w:val="24"/>
          <w:szCs w:val="24"/>
        </w:rPr>
        <w:t>u odgovarajuću kontrolnu listu se uključuje jedna nabava te vrijednosti.</w:t>
      </w:r>
    </w:p>
    <w:p w14:paraId="78BF4B53" w14:textId="798E829B" w:rsidR="00F34EAE" w:rsidRDefault="00F34EAE" w:rsidP="00D60AC3">
      <w:pPr>
        <w:jc w:val="both"/>
        <w:rPr>
          <w:rFonts w:ascii="Times New Roman" w:eastAsia="Calibri" w:hAnsi="Times New Roman" w:cs="Times New Roman"/>
          <w:sz w:val="24"/>
          <w:szCs w:val="24"/>
        </w:rPr>
      </w:pPr>
      <w:r w:rsidRPr="00F34EAE">
        <w:rPr>
          <w:rFonts w:ascii="Times New Roman" w:eastAsia="Calibri" w:hAnsi="Times New Roman" w:cs="Times New Roman"/>
          <w:sz w:val="24"/>
          <w:szCs w:val="24"/>
        </w:rPr>
        <w:t xml:space="preserve">Ukoliko utvrdi potrebu za istim, PT2 ima pravo, ovisno </w:t>
      </w:r>
      <w:r w:rsidR="00263C2B">
        <w:rPr>
          <w:rFonts w:ascii="Times New Roman" w:eastAsia="Calibri" w:hAnsi="Times New Roman" w:cs="Times New Roman"/>
          <w:sz w:val="24"/>
          <w:szCs w:val="24"/>
        </w:rPr>
        <w:t xml:space="preserve">o </w:t>
      </w:r>
      <w:r w:rsidRPr="00F34EAE">
        <w:rPr>
          <w:rFonts w:ascii="Times New Roman" w:eastAsia="Calibri" w:hAnsi="Times New Roman" w:cs="Times New Roman"/>
          <w:sz w:val="24"/>
          <w:szCs w:val="24"/>
        </w:rPr>
        <w:t>okolnostima, odrediti drugačiji odgovarajući uzorak za dodatnu provjeru, i opisati u svom priručniku o postupanju, koju proceduru prethodno odobrava Upravljačko tijelo.</w:t>
      </w:r>
    </w:p>
    <w:p w14:paraId="300A81DF" w14:textId="5AAB7197" w:rsidR="00ED4C9C" w:rsidRDefault="00FF3D46" w:rsidP="00D60AC3">
      <w:pPr>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Ukoliko su nepravilnosti prilikom provjere nabava utvrđene prilikom </w:t>
      </w:r>
      <w:r w:rsidR="00D60AC3">
        <w:rPr>
          <w:rFonts w:ascii="Times New Roman" w:eastAsia="Calibri" w:hAnsi="Times New Roman" w:cs="Times New Roman"/>
          <w:sz w:val="24"/>
          <w:szCs w:val="24"/>
        </w:rPr>
        <w:t>pr</w:t>
      </w:r>
      <w:r>
        <w:rPr>
          <w:rFonts w:ascii="Times New Roman" w:eastAsia="Calibri" w:hAnsi="Times New Roman" w:cs="Times New Roman"/>
          <w:sz w:val="24"/>
          <w:szCs w:val="24"/>
        </w:rPr>
        <w:t>ovjere Završnog ZNS-a</w:t>
      </w:r>
      <w:r w:rsidR="00D60AC3">
        <w:rPr>
          <w:rFonts w:ascii="Times New Roman" w:eastAsia="Calibri" w:hAnsi="Times New Roman" w:cs="Times New Roman"/>
          <w:sz w:val="24"/>
          <w:szCs w:val="24"/>
        </w:rPr>
        <w:t>,</w:t>
      </w:r>
      <w:r>
        <w:rPr>
          <w:rFonts w:ascii="Times New Roman" w:eastAsia="Calibri" w:hAnsi="Times New Roman" w:cs="Times New Roman"/>
          <w:sz w:val="24"/>
          <w:szCs w:val="24"/>
        </w:rPr>
        <w:t xml:space="preserve"> PT2 ima pravo</w:t>
      </w:r>
      <w:r w:rsidR="00FF19DF">
        <w:rPr>
          <w:rFonts w:ascii="Times New Roman" w:eastAsia="Calibri" w:hAnsi="Times New Roman" w:cs="Times New Roman"/>
          <w:sz w:val="24"/>
          <w:szCs w:val="24"/>
        </w:rPr>
        <w:t>, ovisno okolnostima, odrediti drugačiji odgovarajući uzorak za dodatnu provjeru</w:t>
      </w:r>
      <w:r w:rsidR="00D60AC3">
        <w:rPr>
          <w:rFonts w:ascii="Times New Roman" w:eastAsia="Calibri" w:hAnsi="Times New Roman" w:cs="Times New Roman"/>
          <w:sz w:val="24"/>
          <w:szCs w:val="24"/>
        </w:rPr>
        <w:t>, i opisati u svom priručniku o postupanju, koju proceduru prethodno odobrava Upravljačko tijelo.</w:t>
      </w:r>
    </w:p>
    <w:p w14:paraId="4F322D1A" w14:textId="77777777" w:rsidR="0074164F" w:rsidRDefault="0074164F" w:rsidP="00D60AC3">
      <w:pPr>
        <w:jc w:val="both"/>
        <w:rPr>
          <w:rFonts w:ascii="Times New Roman" w:eastAsia="Calibri" w:hAnsi="Times New Roman" w:cs="Times New Roman"/>
          <w:sz w:val="24"/>
          <w:szCs w:val="24"/>
        </w:rPr>
      </w:pPr>
    </w:p>
    <w:p w14:paraId="52F92060" w14:textId="255B86EA" w:rsidR="0074164F" w:rsidRPr="00A2244D" w:rsidRDefault="0074164F" w:rsidP="0074164F">
      <w:pPr>
        <w:pStyle w:val="ListParagraph"/>
        <w:numPr>
          <w:ilvl w:val="0"/>
          <w:numId w:val="1"/>
        </w:numPr>
        <w:jc w:val="both"/>
        <w:rPr>
          <w:rFonts w:ascii="Times New Roman" w:eastAsia="Calibri" w:hAnsi="Times New Roman" w:cs="Times New Roman"/>
          <w:b/>
          <w:sz w:val="24"/>
          <w:szCs w:val="24"/>
        </w:rPr>
      </w:pPr>
      <w:r w:rsidRPr="0074164F">
        <w:rPr>
          <w:rFonts w:ascii="Times New Roman" w:eastAsia="Calibri" w:hAnsi="Times New Roman" w:cs="Times New Roman"/>
          <w:b/>
          <w:sz w:val="24"/>
          <w:szCs w:val="24"/>
        </w:rPr>
        <w:t>Dodatni uzorak ugovora o (javnoj) nabavi iz sub-populacije</w:t>
      </w:r>
    </w:p>
    <w:p w14:paraId="3103A7B2" w14:textId="6E531F4A" w:rsidR="0074164F" w:rsidRDefault="00F34EAE" w:rsidP="0074164F">
      <w:pPr>
        <w:jc w:val="both"/>
        <w:rPr>
          <w:rFonts w:ascii="Times New Roman" w:eastAsia="Calibri" w:hAnsi="Times New Roman" w:cs="Times New Roman"/>
          <w:sz w:val="24"/>
          <w:szCs w:val="24"/>
        </w:rPr>
      </w:pPr>
      <w:r>
        <w:rPr>
          <w:rFonts w:ascii="Times New Roman" w:eastAsia="Calibri" w:hAnsi="Times New Roman" w:cs="Times New Roman"/>
          <w:sz w:val="24"/>
          <w:szCs w:val="24"/>
        </w:rPr>
        <w:t>P</w:t>
      </w:r>
      <w:r w:rsidR="0074164F">
        <w:rPr>
          <w:rFonts w:ascii="Times New Roman" w:eastAsia="Calibri" w:hAnsi="Times New Roman" w:cs="Times New Roman"/>
          <w:sz w:val="24"/>
          <w:szCs w:val="24"/>
        </w:rPr>
        <w:t>rije slanja izjave o izdatcima</w:t>
      </w:r>
      <w:r>
        <w:rPr>
          <w:rFonts w:ascii="Times New Roman" w:eastAsia="Calibri" w:hAnsi="Times New Roman" w:cs="Times New Roman"/>
          <w:sz w:val="24"/>
          <w:szCs w:val="24"/>
        </w:rPr>
        <w:t xml:space="preserve"> m</w:t>
      </w:r>
      <w:r w:rsidR="0074164F">
        <w:rPr>
          <w:rFonts w:ascii="Times New Roman" w:eastAsia="Calibri" w:hAnsi="Times New Roman" w:cs="Times New Roman"/>
          <w:sz w:val="24"/>
          <w:szCs w:val="24"/>
        </w:rPr>
        <w:t>etodološki pristup i broj ugovora koji će biti obuhvaćeni do</w:t>
      </w:r>
      <w:r w:rsidR="00DF0360">
        <w:rPr>
          <w:rFonts w:ascii="Times New Roman" w:eastAsia="Calibri" w:hAnsi="Times New Roman" w:cs="Times New Roman"/>
          <w:sz w:val="24"/>
          <w:szCs w:val="24"/>
        </w:rPr>
        <w:t>datnom provjerom utvrđuju UT i P</w:t>
      </w:r>
      <w:r w:rsidR="0074164F">
        <w:rPr>
          <w:rFonts w:ascii="Times New Roman" w:eastAsia="Calibri" w:hAnsi="Times New Roman" w:cs="Times New Roman"/>
          <w:sz w:val="24"/>
          <w:szCs w:val="24"/>
        </w:rPr>
        <w:t xml:space="preserve">T-2, po potrebi u suradnji s Tijelom za reviziju. </w:t>
      </w:r>
    </w:p>
    <w:p w14:paraId="671C21F7" w14:textId="05E4440F" w:rsidR="0074164F" w:rsidRPr="0074164F" w:rsidRDefault="0074164F" w:rsidP="0074164F">
      <w:pPr>
        <w:jc w:val="both"/>
        <w:rPr>
          <w:rFonts w:ascii="Times New Roman" w:eastAsia="Calibri" w:hAnsi="Times New Roman" w:cs="Times New Roman"/>
          <w:sz w:val="24"/>
          <w:szCs w:val="24"/>
        </w:rPr>
      </w:pPr>
    </w:p>
    <w:sectPr w:rsidR="0074164F" w:rsidRPr="0074164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4B41A3" w14:textId="77777777" w:rsidR="00A11DD7" w:rsidRDefault="00A11DD7" w:rsidP="0045391F">
      <w:pPr>
        <w:spacing w:after="0" w:line="240" w:lineRule="auto"/>
      </w:pPr>
      <w:r>
        <w:separator/>
      </w:r>
    </w:p>
  </w:endnote>
  <w:endnote w:type="continuationSeparator" w:id="0">
    <w:p w14:paraId="436E0A57" w14:textId="77777777" w:rsidR="00A11DD7" w:rsidRDefault="00A11DD7" w:rsidP="004539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EYInterstate Light">
    <w:altName w:val="Calibri"/>
    <w:charset w:val="EE"/>
    <w:family w:val="auto"/>
    <w:pitch w:val="variable"/>
    <w:sig w:usb0="A00002AF" w:usb1="5000206A"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595ACA" w14:textId="77777777" w:rsidR="0030156A" w:rsidRDefault="0030156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ECDDD73" w14:textId="0A206CFC" w:rsidR="00DD7BA3" w:rsidRPr="0045391F" w:rsidRDefault="00DD7BA3">
    <w:pPr>
      <w:pStyle w:val="Footer"/>
      <w:jc w:val="center"/>
      <w:rPr>
        <w:rFonts w:ascii="Times New Roman" w:hAnsi="Times New Roman" w:cs="Times New Roman"/>
        <w:sz w:val="18"/>
        <w:szCs w:val="18"/>
      </w:rPr>
    </w:pPr>
    <w:r w:rsidRPr="0045391F">
      <w:rPr>
        <w:rFonts w:ascii="Times New Roman" w:hAnsi="Times New Roman" w:cs="Times New Roman"/>
        <w:sz w:val="18"/>
        <w:szCs w:val="18"/>
      </w:rPr>
      <w:t xml:space="preserve">Stranica </w:t>
    </w:r>
    <w:sdt>
      <w:sdtPr>
        <w:rPr>
          <w:rFonts w:ascii="Times New Roman" w:hAnsi="Times New Roman" w:cs="Times New Roman"/>
          <w:sz w:val="18"/>
          <w:szCs w:val="18"/>
        </w:rPr>
        <w:id w:val="705303867"/>
        <w:docPartObj>
          <w:docPartGallery w:val="Page Numbers (Bottom of Page)"/>
          <w:docPartUnique/>
        </w:docPartObj>
      </w:sdtPr>
      <w:sdtEndPr>
        <w:rPr>
          <w:noProof/>
        </w:rPr>
      </w:sdtEndPr>
      <w:sdtContent>
        <w:r w:rsidRPr="0045391F">
          <w:rPr>
            <w:rFonts w:ascii="Times New Roman" w:hAnsi="Times New Roman" w:cs="Times New Roman"/>
            <w:sz w:val="18"/>
            <w:szCs w:val="18"/>
          </w:rPr>
          <w:fldChar w:fldCharType="begin"/>
        </w:r>
        <w:r w:rsidRPr="0045391F">
          <w:rPr>
            <w:rFonts w:ascii="Times New Roman" w:hAnsi="Times New Roman" w:cs="Times New Roman"/>
            <w:sz w:val="18"/>
            <w:szCs w:val="18"/>
          </w:rPr>
          <w:instrText xml:space="preserve"> PAGE   \* MERGEFORMAT </w:instrText>
        </w:r>
        <w:r w:rsidRPr="0045391F">
          <w:rPr>
            <w:rFonts w:ascii="Times New Roman" w:hAnsi="Times New Roman" w:cs="Times New Roman"/>
            <w:sz w:val="18"/>
            <w:szCs w:val="18"/>
          </w:rPr>
          <w:fldChar w:fldCharType="separate"/>
        </w:r>
        <w:r w:rsidR="0008560A">
          <w:rPr>
            <w:rFonts w:ascii="Times New Roman" w:hAnsi="Times New Roman" w:cs="Times New Roman"/>
            <w:noProof/>
            <w:sz w:val="18"/>
            <w:szCs w:val="18"/>
          </w:rPr>
          <w:t>13</w:t>
        </w:r>
        <w:r w:rsidRPr="0045391F">
          <w:rPr>
            <w:rFonts w:ascii="Times New Roman" w:hAnsi="Times New Roman" w:cs="Times New Roman"/>
            <w:noProof/>
            <w:sz w:val="18"/>
            <w:szCs w:val="18"/>
          </w:rPr>
          <w:fldChar w:fldCharType="end"/>
        </w:r>
      </w:sdtContent>
    </w:sdt>
  </w:p>
  <w:p w14:paraId="0FAF5620" w14:textId="77777777" w:rsidR="00DD7BA3" w:rsidRDefault="00DD7BA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8E990C" w14:textId="77777777" w:rsidR="0030156A" w:rsidRDefault="003015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C9F4121" w14:textId="77777777" w:rsidR="00A11DD7" w:rsidRDefault="00A11DD7" w:rsidP="0045391F">
      <w:pPr>
        <w:spacing w:after="0" w:line="240" w:lineRule="auto"/>
      </w:pPr>
      <w:r>
        <w:separator/>
      </w:r>
    </w:p>
  </w:footnote>
  <w:footnote w:type="continuationSeparator" w:id="0">
    <w:p w14:paraId="7272C03D" w14:textId="77777777" w:rsidR="00A11DD7" w:rsidRDefault="00A11DD7" w:rsidP="0045391F">
      <w:pPr>
        <w:spacing w:after="0" w:line="240" w:lineRule="auto"/>
      </w:pPr>
      <w:r>
        <w:continuationSeparator/>
      </w:r>
    </w:p>
  </w:footnote>
  <w:footnote w:id="1">
    <w:p w14:paraId="63186CC7" w14:textId="6C7F92E9" w:rsidR="00DD7BA3" w:rsidRDefault="00DD7BA3" w:rsidP="00C9462B">
      <w:pPr>
        <w:pStyle w:val="FootnoteText"/>
        <w:jc w:val="both"/>
      </w:pPr>
      <w:r w:rsidRPr="00D61F56">
        <w:rPr>
          <w:rStyle w:val="FootnoteReference"/>
          <w:rFonts w:ascii="Times New Roman" w:hAnsi="Times New Roman" w:cs="Times New Roman"/>
        </w:rPr>
        <w:footnoteRef/>
      </w:r>
      <w:r w:rsidR="00C9462B">
        <w:rPr>
          <w:rFonts w:ascii="Times New Roman" w:hAnsi="Times New Roman" w:cs="Times New Roman"/>
        </w:rPr>
        <w:t xml:space="preserve"> P</w:t>
      </w:r>
      <w:r w:rsidRPr="00D61F56">
        <w:rPr>
          <w:rFonts w:ascii="Times New Roman" w:hAnsi="Times New Roman" w:cs="Times New Roman"/>
        </w:rPr>
        <w:t xml:space="preserve">ojam lokacije podrazumijeva lokacije korisnika i </w:t>
      </w:r>
      <w:r w:rsidRPr="00C9462B">
        <w:rPr>
          <w:rFonts w:ascii="Times New Roman" w:hAnsi="Times New Roman" w:cs="Times New Roman"/>
        </w:rPr>
        <w:t xml:space="preserve">partnera, odnosno sve lokacije na kojima se odvijaju projektne aktivnosti, neovisno o tome je li riječ o </w:t>
      </w:r>
      <w:r w:rsidR="00C9462B" w:rsidRPr="00C9462B">
        <w:rPr>
          <w:rFonts w:ascii="Times New Roman" w:hAnsi="Times New Roman" w:cs="Times New Roman"/>
        </w:rPr>
        <w:t xml:space="preserve">npr. </w:t>
      </w:r>
      <w:r w:rsidRPr="00C9462B">
        <w:rPr>
          <w:rFonts w:ascii="Times New Roman" w:hAnsi="Times New Roman" w:cs="Times New Roman"/>
        </w:rPr>
        <w:t>dvije lokacije u istom gradu</w:t>
      </w:r>
      <w:r w:rsidR="00C9462B" w:rsidRPr="00C9462B">
        <w:rPr>
          <w:rFonts w:ascii="Times New Roman" w:hAnsi="Times New Roman" w:cs="Times New Roman"/>
        </w:rPr>
        <w:t>.</w:t>
      </w:r>
    </w:p>
  </w:footnote>
  <w:footnote w:id="2">
    <w:p w14:paraId="093CE342" w14:textId="657459F4" w:rsidR="00DD7BA3" w:rsidRDefault="00DD7BA3" w:rsidP="00C9462B">
      <w:pPr>
        <w:pStyle w:val="FootnoteText"/>
        <w:jc w:val="both"/>
      </w:pPr>
      <w:r>
        <w:rPr>
          <w:rStyle w:val="FootnoteReference"/>
        </w:rPr>
        <w:footnoteRef/>
      </w:r>
      <w:r>
        <w:t xml:space="preserve"> </w:t>
      </w:r>
      <w:r w:rsidRPr="00D61F56">
        <w:rPr>
          <w:rFonts w:ascii="Times New Roman" w:hAnsi="Times New Roman" w:cs="Times New Roman"/>
        </w:rPr>
        <w:t>Promatra se razdoblje od dvije godine koje prethod</w:t>
      </w:r>
      <w:r w:rsidR="00C9462B">
        <w:rPr>
          <w:rFonts w:ascii="Times New Roman" w:hAnsi="Times New Roman" w:cs="Times New Roman"/>
        </w:rPr>
        <w:t>i</w:t>
      </w:r>
      <w:r w:rsidRPr="00D61F56">
        <w:rPr>
          <w:rFonts w:ascii="Times New Roman" w:hAnsi="Times New Roman" w:cs="Times New Roman"/>
        </w:rPr>
        <w:t xml:space="preserve"> datum</w:t>
      </w:r>
      <w:r w:rsidR="00C9462B">
        <w:rPr>
          <w:rFonts w:ascii="Times New Roman" w:hAnsi="Times New Roman" w:cs="Times New Roman"/>
        </w:rPr>
        <w:t xml:space="preserve">u potpisivanja ugovora o </w:t>
      </w:r>
      <w:r w:rsidR="00BA7CFC">
        <w:rPr>
          <w:rFonts w:ascii="Times New Roman" w:hAnsi="Times New Roman" w:cs="Times New Roman"/>
        </w:rPr>
        <w:t xml:space="preserve">dodjeli </w:t>
      </w:r>
      <w:r w:rsidR="00C9462B">
        <w:rPr>
          <w:rFonts w:ascii="Times New Roman" w:hAnsi="Times New Roman" w:cs="Times New Roman"/>
        </w:rPr>
        <w:t>bespovratni</w:t>
      </w:r>
      <w:r w:rsidR="00BA7CFC">
        <w:rPr>
          <w:rFonts w:ascii="Times New Roman" w:hAnsi="Times New Roman" w:cs="Times New Roman"/>
        </w:rPr>
        <w:t xml:space="preserve">h </w:t>
      </w:r>
      <w:r w:rsidRPr="00D61F56">
        <w:rPr>
          <w:rFonts w:ascii="Times New Roman" w:hAnsi="Times New Roman" w:cs="Times New Roman"/>
        </w:rPr>
        <w:t>sreds</w:t>
      </w:r>
      <w:r w:rsidR="00BA7CFC">
        <w:rPr>
          <w:rFonts w:ascii="Times New Roman" w:hAnsi="Times New Roman" w:cs="Times New Roman"/>
        </w:rPr>
        <w:t>tava</w:t>
      </w:r>
      <w:r w:rsidR="00C9462B">
        <w:rPr>
          <w:rFonts w:ascii="Times New Roman" w:hAnsi="Times New Roman" w:cs="Times New Roman"/>
        </w:rPr>
        <w:t>.</w:t>
      </w:r>
    </w:p>
  </w:footnote>
  <w:footnote w:id="3">
    <w:p w14:paraId="749DC3AB" w14:textId="6A2BD576" w:rsidR="00DD7BA3" w:rsidRDefault="00DD7BA3" w:rsidP="00F55397">
      <w:pPr>
        <w:pStyle w:val="FootnoteText"/>
        <w:jc w:val="both"/>
      </w:pPr>
      <w:r>
        <w:rPr>
          <w:rStyle w:val="FootnoteReference"/>
        </w:rPr>
        <w:footnoteRef/>
      </w:r>
      <w:r>
        <w:t xml:space="preserve"> </w:t>
      </w:r>
      <w:r w:rsidR="00F55397">
        <w:rPr>
          <w:rFonts w:ascii="Times New Roman" w:hAnsi="Times New Roman" w:cs="Times New Roman"/>
        </w:rPr>
        <w:t>P</w:t>
      </w:r>
      <w:r w:rsidRPr="005A0C95">
        <w:rPr>
          <w:rFonts w:ascii="Times New Roman" w:hAnsi="Times New Roman" w:cs="Times New Roman"/>
        </w:rPr>
        <w:t>ojam lokacije podrazumijeva lokacije korisnika i partnera, odnosno sve lokacije na kojima se odvijaju projektne aktivnosti</w:t>
      </w:r>
      <w:r>
        <w:rPr>
          <w:rFonts w:ascii="Times New Roman" w:hAnsi="Times New Roman" w:cs="Times New Roman"/>
        </w:rPr>
        <w:t>, n</w:t>
      </w:r>
      <w:r w:rsidRPr="003543A3">
        <w:rPr>
          <w:rFonts w:ascii="Times New Roman" w:hAnsi="Times New Roman" w:cs="Times New Roman"/>
        </w:rPr>
        <w:t xml:space="preserve">eovisno o tome je li riječ o </w:t>
      </w:r>
      <w:r w:rsidR="00F55397">
        <w:rPr>
          <w:rFonts w:ascii="Times New Roman" w:hAnsi="Times New Roman" w:cs="Times New Roman"/>
        </w:rPr>
        <w:t xml:space="preserve"> npr. </w:t>
      </w:r>
      <w:r w:rsidRPr="003543A3">
        <w:rPr>
          <w:rFonts w:ascii="Times New Roman" w:hAnsi="Times New Roman" w:cs="Times New Roman"/>
        </w:rPr>
        <w:t>dvije lokacije u istom gradu</w:t>
      </w:r>
      <w:r w:rsidR="00F55397">
        <w:rPr>
          <w:rFonts w:ascii="Times New Roman" w:hAnsi="Times New Roman" w:cs="Times New Roman"/>
        </w:rPr>
        <w:t>.</w:t>
      </w:r>
    </w:p>
  </w:footnote>
  <w:footnote w:id="4">
    <w:p w14:paraId="57AD06E2" w14:textId="21238DFE" w:rsidR="00DD7BA3" w:rsidRDefault="00DD7BA3" w:rsidP="00F55397">
      <w:pPr>
        <w:pStyle w:val="FootnoteText"/>
        <w:jc w:val="both"/>
      </w:pPr>
      <w:r>
        <w:rPr>
          <w:rStyle w:val="FootnoteReference"/>
        </w:rPr>
        <w:footnoteRef/>
      </w:r>
      <w:r>
        <w:t xml:space="preserve"> </w:t>
      </w:r>
      <w:r w:rsidR="00F55397">
        <w:rPr>
          <w:rFonts w:ascii="Times New Roman" w:hAnsi="Times New Roman" w:cs="Times New Roman"/>
        </w:rPr>
        <w:t>N</w:t>
      </w:r>
      <w:r w:rsidRPr="00D61F56">
        <w:rPr>
          <w:rFonts w:ascii="Times New Roman" w:hAnsi="Times New Roman" w:cs="Times New Roman"/>
        </w:rPr>
        <w:t>apomena: jednostavna nabava ne smatra se ostalom vrstom postupka kojoj je potrebno dodijeliti 2 boda</w:t>
      </w:r>
      <w:r w:rsidR="00F55397">
        <w:rPr>
          <w:rFonts w:ascii="Times New Roman" w:hAnsi="Times New Roman" w:cs="Times New Roman"/>
        </w:rPr>
        <w:t>.</w:t>
      </w:r>
    </w:p>
  </w:footnote>
  <w:footnote w:id="5">
    <w:p w14:paraId="43D4418E" w14:textId="047754D9" w:rsidR="00DD7BA3" w:rsidRDefault="00DD7BA3" w:rsidP="00F55397">
      <w:pPr>
        <w:pStyle w:val="FootnoteText"/>
        <w:jc w:val="both"/>
      </w:pPr>
      <w:r>
        <w:rPr>
          <w:rStyle w:val="FootnoteReference"/>
        </w:rPr>
        <w:footnoteRef/>
      </w:r>
      <w:r>
        <w:t xml:space="preserve"> </w:t>
      </w:r>
      <w:r w:rsidRPr="002F0218">
        <w:rPr>
          <w:rFonts w:ascii="Times New Roman" w:hAnsi="Times New Roman" w:cs="Times New Roman"/>
        </w:rPr>
        <w:t>Promatra se razdoblje od dvije godine koje prethod</w:t>
      </w:r>
      <w:r w:rsidR="00BA7CFC">
        <w:rPr>
          <w:rFonts w:ascii="Times New Roman" w:hAnsi="Times New Roman" w:cs="Times New Roman"/>
        </w:rPr>
        <w:t>i</w:t>
      </w:r>
      <w:r w:rsidRPr="002F0218">
        <w:rPr>
          <w:rFonts w:ascii="Times New Roman" w:hAnsi="Times New Roman" w:cs="Times New Roman"/>
        </w:rPr>
        <w:t xml:space="preserve"> datumu potpisivanja ugovora o </w:t>
      </w:r>
      <w:r w:rsidR="00BA7CFC">
        <w:rPr>
          <w:rFonts w:ascii="Times New Roman" w:hAnsi="Times New Roman" w:cs="Times New Roman"/>
        </w:rPr>
        <w:t>dodjeli bespovratnih sredstava</w:t>
      </w:r>
      <w:r w:rsidR="00F55397">
        <w:rPr>
          <w:rFonts w:ascii="Times New Roman" w:hAnsi="Times New Roman" w:cs="Times New Roman"/>
        </w:rPr>
        <w:t>.</w:t>
      </w:r>
    </w:p>
  </w:footnote>
  <w:footnote w:id="6">
    <w:p w14:paraId="5C57D7B6" w14:textId="5AF17D28" w:rsidR="00DD7BA3" w:rsidRPr="00D61F56" w:rsidRDefault="00DD7BA3" w:rsidP="00AB4612">
      <w:pPr>
        <w:pStyle w:val="FootnoteText"/>
        <w:rPr>
          <w:rFonts w:ascii="Times New Roman" w:hAnsi="Times New Roman" w:cs="Times New Roman"/>
        </w:rPr>
      </w:pPr>
      <w:r w:rsidRPr="00D61F56">
        <w:rPr>
          <w:rStyle w:val="FootnoteReference"/>
          <w:rFonts w:ascii="Times New Roman" w:hAnsi="Times New Roman" w:cs="Times New Roman"/>
        </w:rPr>
        <w:footnoteRef/>
      </w:r>
      <w:r w:rsidRPr="00D61F56">
        <w:rPr>
          <w:rFonts w:ascii="Times New Roman" w:hAnsi="Times New Roman" w:cs="Times New Roman"/>
        </w:rPr>
        <w:t xml:space="preserve"> Promatra se razdoblje od dvije godine koje prethod</w:t>
      </w:r>
      <w:r w:rsidR="00BA7CFC">
        <w:rPr>
          <w:rFonts w:ascii="Times New Roman" w:hAnsi="Times New Roman" w:cs="Times New Roman"/>
        </w:rPr>
        <w:t>i</w:t>
      </w:r>
      <w:r w:rsidRPr="00D61F56">
        <w:rPr>
          <w:rFonts w:ascii="Times New Roman" w:hAnsi="Times New Roman" w:cs="Times New Roman"/>
        </w:rPr>
        <w:t xml:space="preserve"> dat</w:t>
      </w:r>
      <w:r w:rsidR="00BA7CFC">
        <w:rPr>
          <w:rFonts w:ascii="Times New Roman" w:hAnsi="Times New Roman" w:cs="Times New Roman"/>
        </w:rPr>
        <w:t>umu potpisivanja ugovora o bespovratnih</w:t>
      </w:r>
      <w:r w:rsidRPr="00D61F56">
        <w:rPr>
          <w:rFonts w:ascii="Times New Roman" w:hAnsi="Times New Roman" w:cs="Times New Roman"/>
        </w:rPr>
        <w:t xml:space="preserve"> sredst</w:t>
      </w:r>
      <w:r w:rsidR="00BA7CFC">
        <w:rPr>
          <w:rFonts w:ascii="Times New Roman" w:hAnsi="Times New Roman" w:cs="Times New Roman"/>
        </w:rPr>
        <w:t>ava.</w:t>
      </w:r>
    </w:p>
  </w:footnote>
  <w:footnote w:id="7">
    <w:p w14:paraId="2CEE9AEA" w14:textId="2B96106C" w:rsidR="00DD7BA3" w:rsidRDefault="00DD7BA3" w:rsidP="00860367">
      <w:pPr>
        <w:pStyle w:val="FootnoteText"/>
        <w:jc w:val="both"/>
      </w:pPr>
      <w:r>
        <w:rPr>
          <w:rStyle w:val="FootnoteReference"/>
        </w:rPr>
        <w:footnoteRef/>
      </w:r>
      <w:r>
        <w:t xml:space="preserve"> </w:t>
      </w:r>
      <w:r>
        <w:rPr>
          <w:rFonts w:ascii="Times New Roman" w:hAnsi="Times New Roman" w:cs="Times New Roman"/>
        </w:rPr>
        <w:t>P</w:t>
      </w:r>
      <w:r w:rsidRPr="005A0C95">
        <w:rPr>
          <w:rFonts w:ascii="Times New Roman" w:hAnsi="Times New Roman" w:cs="Times New Roman"/>
        </w:rPr>
        <w:t>ojam lokacije podrazumijeva lokacije korisnika i partnera, odnosno sve lokacije na kojima se odvijaju projektne aktivnosti</w:t>
      </w:r>
      <w:r>
        <w:rPr>
          <w:rFonts w:ascii="Times New Roman" w:hAnsi="Times New Roman" w:cs="Times New Roman"/>
        </w:rPr>
        <w:t>, n</w:t>
      </w:r>
      <w:r w:rsidRPr="003543A3">
        <w:rPr>
          <w:rFonts w:ascii="Times New Roman" w:hAnsi="Times New Roman" w:cs="Times New Roman"/>
        </w:rPr>
        <w:t>eovisno o tome je li riječ o dvije lokacije</w:t>
      </w:r>
      <w:r w:rsidR="00860367">
        <w:rPr>
          <w:rFonts w:ascii="Times New Roman" w:hAnsi="Times New Roman" w:cs="Times New Roman"/>
        </w:rPr>
        <w:t xml:space="preserve">  npr.</w:t>
      </w:r>
      <w:r w:rsidRPr="003543A3">
        <w:rPr>
          <w:rFonts w:ascii="Times New Roman" w:hAnsi="Times New Roman" w:cs="Times New Roman"/>
        </w:rPr>
        <w:t xml:space="preserve"> u istom gradu</w:t>
      </w:r>
      <w:r w:rsidR="00860367">
        <w:rPr>
          <w:rFonts w:ascii="Times New Roman" w:hAnsi="Times New Roman" w:cs="Times New Roman"/>
        </w:rPr>
        <w:t>.</w:t>
      </w:r>
    </w:p>
  </w:footnote>
  <w:footnote w:id="8">
    <w:p w14:paraId="03D42D0A" w14:textId="43F8884C" w:rsidR="00DD7BA3" w:rsidRPr="002F0218" w:rsidRDefault="00DD7BA3" w:rsidP="00860367">
      <w:pPr>
        <w:pStyle w:val="FootnoteText"/>
        <w:jc w:val="both"/>
        <w:rPr>
          <w:rFonts w:ascii="Times New Roman" w:hAnsi="Times New Roman" w:cs="Times New Roman"/>
        </w:rPr>
      </w:pPr>
      <w:r w:rsidRPr="002F0218">
        <w:rPr>
          <w:rStyle w:val="FootnoteReference"/>
          <w:rFonts w:ascii="Times New Roman" w:hAnsi="Times New Roman" w:cs="Times New Roman"/>
        </w:rPr>
        <w:footnoteRef/>
      </w:r>
      <w:r w:rsidRPr="002F0218">
        <w:rPr>
          <w:rFonts w:ascii="Times New Roman" w:hAnsi="Times New Roman" w:cs="Times New Roman"/>
        </w:rPr>
        <w:t xml:space="preserve"> Promatra se razdoblje od dvije godine koje prethod</w:t>
      </w:r>
      <w:r w:rsidR="00860367">
        <w:rPr>
          <w:rFonts w:ascii="Times New Roman" w:hAnsi="Times New Roman" w:cs="Times New Roman"/>
        </w:rPr>
        <w:t>i</w:t>
      </w:r>
      <w:r w:rsidRPr="002F0218">
        <w:rPr>
          <w:rFonts w:ascii="Times New Roman" w:hAnsi="Times New Roman" w:cs="Times New Roman"/>
        </w:rPr>
        <w:t xml:space="preserve"> datumu potpisivanja </w:t>
      </w:r>
      <w:r w:rsidR="00860367">
        <w:rPr>
          <w:rFonts w:ascii="Times New Roman" w:hAnsi="Times New Roman" w:cs="Times New Roman"/>
        </w:rPr>
        <w:t>ugovora o dodjeli bespovratnih sredstava.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F81A4A" w14:textId="77777777" w:rsidR="0030156A" w:rsidRDefault="0030156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775"/>
      <w:gridCol w:w="2309"/>
      <w:gridCol w:w="1895"/>
    </w:tblGrid>
    <w:tr w:rsidR="00DD7BA3" w:rsidRPr="00EA5EF0" w14:paraId="49B2BC0D" w14:textId="77777777" w:rsidTr="00DD7BA3">
      <w:tc>
        <w:tcPr>
          <w:tcW w:w="2088" w:type="dxa"/>
          <w:vMerge w:val="restart"/>
        </w:tcPr>
        <w:p w14:paraId="6250532A" w14:textId="77777777"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sidRPr="00EA5EF0">
            <w:rPr>
              <w:rFonts w:ascii="Times New Roman" w:eastAsia="SimSun" w:hAnsi="Times New Roman" w:cs="Times New Roman"/>
              <w:b/>
              <w:sz w:val="24"/>
              <w:szCs w:val="24"/>
            </w:rPr>
            <w:t>Ministarstvo regionalnoga razvoja i fondova Europske unije (MRRFEU)</w:t>
          </w:r>
        </w:p>
      </w:tc>
      <w:tc>
        <w:tcPr>
          <w:tcW w:w="2775" w:type="dxa"/>
          <w:vMerge w:val="restart"/>
        </w:tcPr>
        <w:p w14:paraId="3E935085" w14:textId="77777777"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sidRPr="00EA5EF0">
            <w:rPr>
              <w:rFonts w:ascii="Times New Roman" w:eastAsia="SimSun" w:hAnsi="Times New Roman" w:cs="Times New Roman"/>
              <w:b/>
              <w:sz w:val="24"/>
              <w:szCs w:val="24"/>
            </w:rPr>
            <w:t>PRAVILA 2014.-2020.</w:t>
          </w:r>
        </w:p>
      </w:tc>
      <w:tc>
        <w:tcPr>
          <w:tcW w:w="2309" w:type="dxa"/>
        </w:tcPr>
        <w:p w14:paraId="3484C520" w14:textId="77777777"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sidRPr="00EA5EF0">
            <w:rPr>
              <w:rFonts w:ascii="Times New Roman" w:eastAsia="SimSun" w:hAnsi="Times New Roman" w:cs="Times New Roman"/>
              <w:b/>
              <w:sz w:val="24"/>
              <w:szCs w:val="24"/>
            </w:rPr>
            <w:t>Pravilo br.</w:t>
          </w:r>
        </w:p>
      </w:tc>
      <w:tc>
        <w:tcPr>
          <w:tcW w:w="1895" w:type="dxa"/>
        </w:tcPr>
        <w:p w14:paraId="648B290D" w14:textId="77777777"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sidRPr="00EA5EF0">
            <w:rPr>
              <w:rFonts w:ascii="Times New Roman" w:eastAsia="SimSun" w:hAnsi="Times New Roman" w:cs="Times New Roman"/>
              <w:b/>
              <w:sz w:val="24"/>
              <w:szCs w:val="24"/>
            </w:rPr>
            <w:t>05</w:t>
          </w:r>
        </w:p>
      </w:tc>
    </w:tr>
    <w:tr w:rsidR="00DD7BA3" w:rsidRPr="00EA5EF0" w14:paraId="29FCAE38" w14:textId="77777777" w:rsidTr="00DD7BA3">
      <w:tc>
        <w:tcPr>
          <w:tcW w:w="2088" w:type="dxa"/>
          <w:vMerge/>
        </w:tcPr>
        <w:p w14:paraId="68E520E0" w14:textId="77777777" w:rsidR="00DD7BA3" w:rsidRPr="00EA5EF0" w:rsidRDefault="00DD7BA3" w:rsidP="004C6D1E">
          <w:pPr>
            <w:spacing w:after="0" w:line="276" w:lineRule="auto"/>
            <w:rPr>
              <w:rFonts w:ascii="Times New Roman" w:eastAsia="SimSun" w:hAnsi="Times New Roman" w:cs="Times New Roman"/>
              <w:b/>
              <w:sz w:val="24"/>
              <w:szCs w:val="24"/>
            </w:rPr>
          </w:pPr>
        </w:p>
      </w:tc>
      <w:tc>
        <w:tcPr>
          <w:tcW w:w="2775" w:type="dxa"/>
          <w:vMerge/>
        </w:tcPr>
        <w:p w14:paraId="392B2FA1" w14:textId="77777777" w:rsidR="00DD7BA3" w:rsidRPr="00EA5EF0" w:rsidRDefault="00DD7BA3" w:rsidP="004C6D1E">
          <w:pPr>
            <w:spacing w:after="0" w:line="276" w:lineRule="auto"/>
            <w:rPr>
              <w:rFonts w:ascii="Times New Roman" w:eastAsia="SimSun" w:hAnsi="Times New Roman" w:cs="Times New Roman"/>
              <w:b/>
              <w:sz w:val="24"/>
              <w:szCs w:val="24"/>
            </w:rPr>
          </w:pPr>
        </w:p>
      </w:tc>
      <w:tc>
        <w:tcPr>
          <w:tcW w:w="2309" w:type="dxa"/>
        </w:tcPr>
        <w:p w14:paraId="48CF0FCD" w14:textId="77777777"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sidRPr="00EA5EF0">
            <w:rPr>
              <w:rFonts w:ascii="Times New Roman" w:eastAsia="SimSun" w:hAnsi="Times New Roman" w:cs="Times New Roman"/>
              <w:b/>
              <w:sz w:val="24"/>
              <w:szCs w:val="24"/>
            </w:rPr>
            <w:t xml:space="preserve">Datum </w:t>
          </w:r>
        </w:p>
      </w:tc>
      <w:tc>
        <w:tcPr>
          <w:tcW w:w="1895" w:type="dxa"/>
          <w:tcBorders>
            <w:top w:val="single" w:sz="4" w:space="0" w:color="auto"/>
            <w:left w:val="single" w:sz="4" w:space="0" w:color="auto"/>
            <w:bottom w:val="single" w:sz="4" w:space="0" w:color="auto"/>
            <w:right w:val="single" w:sz="4" w:space="0" w:color="auto"/>
          </w:tcBorders>
        </w:tcPr>
        <w:p w14:paraId="4A9DFCEB" w14:textId="1D4602F8" w:rsidR="00DD7BA3" w:rsidRPr="00EA5EF0" w:rsidRDefault="001964AF" w:rsidP="004C6D1E">
          <w:pPr>
            <w:tabs>
              <w:tab w:val="left" w:pos="1257"/>
            </w:tabs>
            <w:spacing w:after="0" w:line="276" w:lineRule="auto"/>
            <w:jc w:val="center"/>
            <w:rPr>
              <w:rFonts w:ascii="Times New Roman" w:eastAsia="SimSun" w:hAnsi="Times New Roman" w:cs="Times New Roman"/>
              <w:b/>
              <w:sz w:val="24"/>
              <w:szCs w:val="24"/>
            </w:rPr>
          </w:pPr>
          <w:r>
            <w:rPr>
              <w:rFonts w:ascii="Times New Roman" w:hAnsi="Times New Roman"/>
              <w:b/>
              <w:bCs/>
              <w:kern w:val="32"/>
              <w:sz w:val="24"/>
              <w:szCs w:val="24"/>
            </w:rPr>
            <w:t>Prosinac</w:t>
          </w:r>
          <w:r w:rsidR="00B15689">
            <w:rPr>
              <w:rFonts w:ascii="Times New Roman" w:hAnsi="Times New Roman"/>
              <w:b/>
              <w:bCs/>
              <w:kern w:val="32"/>
              <w:sz w:val="24"/>
              <w:szCs w:val="24"/>
            </w:rPr>
            <w:t xml:space="preserve"> </w:t>
          </w:r>
          <w:r w:rsidR="00542EF6">
            <w:rPr>
              <w:rFonts w:ascii="Times New Roman" w:hAnsi="Times New Roman"/>
              <w:b/>
              <w:bCs/>
              <w:kern w:val="32"/>
              <w:sz w:val="24"/>
              <w:szCs w:val="24"/>
            </w:rPr>
            <w:t>20</w:t>
          </w:r>
          <w:r w:rsidR="0030156A">
            <w:rPr>
              <w:rFonts w:ascii="Times New Roman" w:hAnsi="Times New Roman"/>
              <w:b/>
              <w:bCs/>
              <w:kern w:val="32"/>
              <w:sz w:val="24"/>
              <w:szCs w:val="24"/>
            </w:rPr>
            <w:t>20</w:t>
          </w:r>
          <w:r w:rsidR="00542EF6">
            <w:rPr>
              <w:rFonts w:ascii="Times New Roman" w:hAnsi="Times New Roman"/>
              <w:b/>
              <w:bCs/>
              <w:kern w:val="32"/>
              <w:sz w:val="24"/>
              <w:szCs w:val="24"/>
            </w:rPr>
            <w:t>.</w:t>
          </w:r>
        </w:p>
      </w:tc>
    </w:tr>
    <w:tr w:rsidR="00DD7BA3" w:rsidRPr="00EA5EF0" w14:paraId="03115BA2" w14:textId="77777777" w:rsidTr="00DD7BA3">
      <w:tc>
        <w:tcPr>
          <w:tcW w:w="2088" w:type="dxa"/>
          <w:vMerge/>
        </w:tcPr>
        <w:p w14:paraId="5DB474EE" w14:textId="77777777" w:rsidR="00DD7BA3" w:rsidRPr="00EA5EF0" w:rsidRDefault="00DD7BA3" w:rsidP="004C6D1E">
          <w:pPr>
            <w:spacing w:after="0" w:line="276" w:lineRule="auto"/>
            <w:rPr>
              <w:rFonts w:ascii="Times New Roman" w:eastAsia="SimSun" w:hAnsi="Times New Roman" w:cs="Times New Roman"/>
              <w:b/>
              <w:sz w:val="24"/>
              <w:szCs w:val="24"/>
            </w:rPr>
          </w:pPr>
        </w:p>
      </w:tc>
      <w:tc>
        <w:tcPr>
          <w:tcW w:w="2775" w:type="dxa"/>
          <w:vMerge w:val="restart"/>
        </w:tcPr>
        <w:p w14:paraId="6EF6BF73" w14:textId="77777777" w:rsidR="00DD7BA3" w:rsidRPr="00EA5EF0" w:rsidRDefault="00DD7BA3" w:rsidP="004C6D1E">
          <w:pPr>
            <w:tabs>
              <w:tab w:val="left" w:pos="1257"/>
            </w:tabs>
            <w:spacing w:after="0" w:line="276" w:lineRule="auto"/>
            <w:jc w:val="center"/>
            <w:rPr>
              <w:rFonts w:ascii="Times New Roman" w:eastAsia="SimSun" w:hAnsi="Times New Roman" w:cs="Times New Roman"/>
              <w:sz w:val="24"/>
              <w:szCs w:val="24"/>
            </w:rPr>
          </w:pPr>
          <w:r w:rsidRPr="00EA5EF0">
            <w:rPr>
              <w:rFonts w:ascii="Times New Roman" w:eastAsia="SimSun" w:hAnsi="Times New Roman" w:cs="Times New Roman"/>
              <w:b/>
              <w:sz w:val="24"/>
              <w:szCs w:val="24"/>
            </w:rPr>
            <w:t>Izvršavanje i upravljanje ugovorima o dodjeli bespovratnih sredstava</w:t>
          </w:r>
        </w:p>
      </w:tc>
      <w:tc>
        <w:tcPr>
          <w:tcW w:w="2309" w:type="dxa"/>
        </w:tcPr>
        <w:p w14:paraId="0B1B9BB0" w14:textId="77777777"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sidRPr="00EA5EF0">
            <w:rPr>
              <w:rFonts w:ascii="Times New Roman" w:eastAsia="SimSun" w:hAnsi="Times New Roman" w:cs="Times New Roman"/>
              <w:b/>
              <w:sz w:val="24"/>
              <w:szCs w:val="24"/>
            </w:rPr>
            <w:t>Verzija</w:t>
          </w:r>
        </w:p>
      </w:tc>
      <w:tc>
        <w:tcPr>
          <w:tcW w:w="1895" w:type="dxa"/>
          <w:tcBorders>
            <w:top w:val="single" w:sz="4" w:space="0" w:color="auto"/>
            <w:left w:val="single" w:sz="4" w:space="0" w:color="auto"/>
            <w:bottom w:val="single" w:sz="4" w:space="0" w:color="auto"/>
            <w:right w:val="single" w:sz="4" w:space="0" w:color="auto"/>
          </w:tcBorders>
        </w:tcPr>
        <w:p w14:paraId="3D305A9F" w14:textId="27DFDC97" w:rsidR="00DD7BA3" w:rsidRPr="00EA5EF0" w:rsidRDefault="00D27139" w:rsidP="004C6D1E">
          <w:pPr>
            <w:tabs>
              <w:tab w:val="left" w:pos="1257"/>
            </w:tabs>
            <w:spacing w:after="0" w:line="276" w:lineRule="auto"/>
            <w:jc w:val="center"/>
            <w:rPr>
              <w:rFonts w:ascii="Times New Roman" w:eastAsia="SimSun" w:hAnsi="Times New Roman" w:cs="Times New Roman"/>
              <w:b/>
              <w:sz w:val="24"/>
              <w:szCs w:val="24"/>
            </w:rPr>
          </w:pPr>
          <w:r>
            <w:rPr>
              <w:rFonts w:ascii="Times New Roman" w:eastAsia="SimSun" w:hAnsi="Times New Roman"/>
              <w:b/>
              <w:color w:val="000000"/>
              <w:sz w:val="24"/>
              <w:szCs w:val="24"/>
            </w:rPr>
            <w:t>7</w:t>
          </w:r>
          <w:r w:rsidR="00DD7BA3">
            <w:rPr>
              <w:rFonts w:ascii="Times New Roman" w:eastAsia="SimSun" w:hAnsi="Times New Roman"/>
              <w:b/>
              <w:color w:val="000000"/>
              <w:sz w:val="24"/>
              <w:szCs w:val="24"/>
            </w:rPr>
            <w:t>.0</w:t>
          </w:r>
        </w:p>
      </w:tc>
    </w:tr>
    <w:tr w:rsidR="00DD7BA3" w:rsidRPr="00EA5EF0" w14:paraId="4C97B0F7" w14:textId="77777777" w:rsidTr="00DD7BA3">
      <w:tc>
        <w:tcPr>
          <w:tcW w:w="2088" w:type="dxa"/>
          <w:vMerge/>
        </w:tcPr>
        <w:p w14:paraId="4BF50F79" w14:textId="77777777" w:rsidR="00DD7BA3" w:rsidRPr="00EA5EF0" w:rsidRDefault="00DD7BA3" w:rsidP="004C6D1E">
          <w:pPr>
            <w:spacing w:after="0" w:line="276" w:lineRule="auto"/>
            <w:rPr>
              <w:rFonts w:ascii="Times New Roman" w:eastAsia="SimSun" w:hAnsi="Times New Roman" w:cs="Times New Roman"/>
              <w:b/>
              <w:sz w:val="24"/>
              <w:szCs w:val="24"/>
            </w:rPr>
          </w:pPr>
        </w:p>
      </w:tc>
      <w:tc>
        <w:tcPr>
          <w:tcW w:w="2775" w:type="dxa"/>
          <w:vMerge/>
        </w:tcPr>
        <w:p w14:paraId="135F6297" w14:textId="77777777" w:rsidR="00DD7BA3" w:rsidRPr="00EA5EF0" w:rsidRDefault="00DD7BA3" w:rsidP="004C6D1E">
          <w:pPr>
            <w:spacing w:after="0" w:line="276" w:lineRule="auto"/>
            <w:rPr>
              <w:rFonts w:ascii="Times New Roman" w:eastAsia="SimSun" w:hAnsi="Times New Roman" w:cs="Times New Roman"/>
              <w:sz w:val="24"/>
              <w:szCs w:val="24"/>
            </w:rPr>
          </w:pPr>
        </w:p>
      </w:tc>
      <w:tc>
        <w:tcPr>
          <w:tcW w:w="2309" w:type="dxa"/>
        </w:tcPr>
        <w:p w14:paraId="4D55E5DD" w14:textId="77777777"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sidRPr="00EA5EF0">
            <w:rPr>
              <w:rFonts w:ascii="Times New Roman" w:eastAsia="SimSun" w:hAnsi="Times New Roman" w:cs="Times New Roman"/>
              <w:b/>
              <w:sz w:val="24"/>
              <w:szCs w:val="24"/>
            </w:rPr>
            <w:t xml:space="preserve">Prilog </w:t>
          </w:r>
        </w:p>
      </w:tc>
      <w:tc>
        <w:tcPr>
          <w:tcW w:w="1895" w:type="dxa"/>
        </w:tcPr>
        <w:p w14:paraId="73603329" w14:textId="77777777"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Pr>
              <w:rFonts w:ascii="Times New Roman" w:eastAsia="SimSun" w:hAnsi="Times New Roman" w:cs="Times New Roman"/>
              <w:b/>
              <w:sz w:val="24"/>
              <w:szCs w:val="24"/>
            </w:rPr>
            <w:t>18</w:t>
          </w:r>
        </w:p>
      </w:tc>
    </w:tr>
    <w:tr w:rsidR="00DD7BA3" w:rsidRPr="00EA5EF0" w14:paraId="38AA74DA" w14:textId="77777777" w:rsidTr="00DD7BA3">
      <w:tc>
        <w:tcPr>
          <w:tcW w:w="2088" w:type="dxa"/>
          <w:vMerge/>
        </w:tcPr>
        <w:p w14:paraId="726CE458" w14:textId="77777777" w:rsidR="00DD7BA3" w:rsidRPr="00EA5EF0" w:rsidRDefault="00DD7BA3" w:rsidP="004C6D1E">
          <w:pPr>
            <w:spacing w:after="0" w:line="276" w:lineRule="auto"/>
            <w:rPr>
              <w:rFonts w:ascii="Times New Roman" w:eastAsia="SimSun" w:hAnsi="Times New Roman" w:cs="Times New Roman"/>
              <w:b/>
              <w:sz w:val="24"/>
              <w:szCs w:val="24"/>
            </w:rPr>
          </w:pPr>
        </w:p>
      </w:tc>
      <w:tc>
        <w:tcPr>
          <w:tcW w:w="2775" w:type="dxa"/>
          <w:vMerge/>
        </w:tcPr>
        <w:p w14:paraId="56810465" w14:textId="77777777" w:rsidR="00DD7BA3" w:rsidRPr="00EA5EF0" w:rsidRDefault="00DD7BA3" w:rsidP="004C6D1E">
          <w:pPr>
            <w:spacing w:after="0" w:line="276" w:lineRule="auto"/>
            <w:rPr>
              <w:rFonts w:ascii="Times New Roman" w:eastAsia="SimSun" w:hAnsi="Times New Roman" w:cs="Times New Roman"/>
              <w:sz w:val="24"/>
              <w:szCs w:val="24"/>
            </w:rPr>
          </w:pPr>
        </w:p>
      </w:tc>
      <w:tc>
        <w:tcPr>
          <w:tcW w:w="2309" w:type="dxa"/>
        </w:tcPr>
        <w:p w14:paraId="2E927D6B" w14:textId="77777777"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Pr>
              <w:rFonts w:ascii="Times New Roman" w:eastAsia="SimSun" w:hAnsi="Times New Roman"/>
              <w:b/>
              <w:sz w:val="24"/>
              <w:szCs w:val="24"/>
            </w:rPr>
            <w:t>Pravilo donosi</w:t>
          </w:r>
        </w:p>
      </w:tc>
      <w:tc>
        <w:tcPr>
          <w:tcW w:w="1895" w:type="dxa"/>
        </w:tcPr>
        <w:p w14:paraId="44E24CD6" w14:textId="521E41FB" w:rsidR="00DD7BA3" w:rsidRPr="00EA5EF0" w:rsidRDefault="00DD7BA3" w:rsidP="004C6D1E">
          <w:pPr>
            <w:tabs>
              <w:tab w:val="left" w:pos="1257"/>
            </w:tabs>
            <w:spacing w:after="0" w:line="276" w:lineRule="auto"/>
            <w:jc w:val="center"/>
            <w:rPr>
              <w:rFonts w:ascii="Times New Roman" w:eastAsia="SimSun" w:hAnsi="Times New Roman" w:cs="Times New Roman"/>
              <w:b/>
              <w:sz w:val="24"/>
              <w:szCs w:val="24"/>
            </w:rPr>
          </w:pPr>
          <w:r w:rsidRPr="00EA5EF0">
            <w:rPr>
              <w:rFonts w:ascii="Times New Roman" w:eastAsia="SimSun" w:hAnsi="Times New Roman" w:cs="Times New Roman"/>
              <w:b/>
              <w:sz w:val="24"/>
              <w:szCs w:val="24"/>
            </w:rPr>
            <w:t>Minist</w:t>
          </w:r>
          <w:r w:rsidR="00D27139">
            <w:rPr>
              <w:rFonts w:ascii="Times New Roman" w:eastAsia="SimSun" w:hAnsi="Times New Roman" w:cs="Times New Roman"/>
              <w:b/>
              <w:sz w:val="24"/>
              <w:szCs w:val="24"/>
            </w:rPr>
            <w:t>rica</w:t>
          </w:r>
          <w:r w:rsidRPr="00EA5EF0">
            <w:rPr>
              <w:rFonts w:ascii="Times New Roman" w:eastAsia="SimSun" w:hAnsi="Times New Roman" w:cs="Times New Roman"/>
              <w:b/>
              <w:sz w:val="24"/>
              <w:szCs w:val="24"/>
            </w:rPr>
            <w:t xml:space="preserve"> MRRFEU</w:t>
          </w:r>
        </w:p>
      </w:tc>
    </w:tr>
  </w:tbl>
  <w:p w14:paraId="5FDD58AA" w14:textId="77777777" w:rsidR="00DD7BA3" w:rsidRDefault="00DD7BA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742107" w14:textId="77777777" w:rsidR="0030156A" w:rsidRDefault="003015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3B94B94"/>
    <w:multiLevelType w:val="hybridMultilevel"/>
    <w:tmpl w:val="452625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A2A6D99"/>
    <w:multiLevelType w:val="hybridMultilevel"/>
    <w:tmpl w:val="763A20A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AB248F0"/>
    <w:multiLevelType w:val="hybridMultilevel"/>
    <w:tmpl w:val="2EF001B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21F905BE"/>
    <w:multiLevelType w:val="hybridMultilevel"/>
    <w:tmpl w:val="3D00ABDE"/>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3A191A5F"/>
    <w:multiLevelType w:val="hybridMultilevel"/>
    <w:tmpl w:val="5BDA10C2"/>
    <w:lvl w:ilvl="0" w:tplc="CF7C8798">
      <w:start w:val="4"/>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FEA326C"/>
    <w:multiLevelType w:val="hybridMultilevel"/>
    <w:tmpl w:val="AF968A4A"/>
    <w:lvl w:ilvl="0" w:tplc="99889F82">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46AF67FF"/>
    <w:multiLevelType w:val="multilevel"/>
    <w:tmpl w:val="D6DC74B6"/>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FFE0D5C"/>
    <w:multiLevelType w:val="hybridMultilevel"/>
    <w:tmpl w:val="B7605810"/>
    <w:lvl w:ilvl="0" w:tplc="7BC4B34A">
      <w:start w:val="1"/>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584F12AB"/>
    <w:multiLevelType w:val="hybridMultilevel"/>
    <w:tmpl w:val="ADEE0A42"/>
    <w:lvl w:ilvl="0" w:tplc="E7368FB2">
      <w:start w:val="6"/>
      <w:numFmt w:val="bullet"/>
      <w:lvlText w:val="-"/>
      <w:lvlJc w:val="left"/>
      <w:pPr>
        <w:ind w:left="720" w:hanging="360"/>
      </w:pPr>
      <w:rPr>
        <w:rFonts w:ascii="Times New Roman" w:eastAsia="Calibri"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58B96BC9"/>
    <w:multiLevelType w:val="hybridMultilevel"/>
    <w:tmpl w:val="537AC2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5A792EC3"/>
    <w:multiLevelType w:val="multilevel"/>
    <w:tmpl w:val="BDAAC4FE"/>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440" w:hanging="108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1800" w:hanging="1440"/>
      </w:pPr>
      <w:rPr>
        <w:rFonts w:hint="default"/>
        <w:b w:val="0"/>
      </w:rPr>
    </w:lvl>
    <w:lvl w:ilvl="8">
      <w:start w:val="1"/>
      <w:numFmt w:val="decimal"/>
      <w:isLgl/>
      <w:lvlText w:val="%1.%2.%3.%4.%5.%6.%7.%8.%9."/>
      <w:lvlJc w:val="left"/>
      <w:pPr>
        <w:ind w:left="2160" w:hanging="1800"/>
      </w:pPr>
      <w:rPr>
        <w:rFonts w:hint="default"/>
        <w:b w:val="0"/>
      </w:rPr>
    </w:lvl>
  </w:abstractNum>
  <w:abstractNum w:abstractNumId="11" w15:restartNumberingAfterBreak="0">
    <w:nsid w:val="5DBA026B"/>
    <w:multiLevelType w:val="hybridMultilevel"/>
    <w:tmpl w:val="EE9EB6AE"/>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2" w15:restartNumberingAfterBreak="0">
    <w:nsid w:val="5FAF0F44"/>
    <w:multiLevelType w:val="hybridMultilevel"/>
    <w:tmpl w:val="AF968A4A"/>
    <w:lvl w:ilvl="0" w:tplc="99889F82">
      <w:start w:val="1"/>
      <w:numFmt w:val="lowerLetter"/>
      <w:lvlText w:val="%1)"/>
      <w:lvlJc w:val="left"/>
      <w:pPr>
        <w:ind w:left="720" w:hanging="360"/>
      </w:pPr>
      <w:rPr>
        <w:b w:val="0"/>
      </w:rPr>
    </w:lvl>
    <w:lvl w:ilvl="1" w:tplc="041A0019">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661F0AF6"/>
    <w:multiLevelType w:val="hybridMultilevel"/>
    <w:tmpl w:val="E81E69F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68420B5E"/>
    <w:multiLevelType w:val="hybridMultilevel"/>
    <w:tmpl w:val="537AC20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6F01384C"/>
    <w:multiLevelType w:val="hybridMultilevel"/>
    <w:tmpl w:val="E0DE4ACC"/>
    <w:lvl w:ilvl="0" w:tplc="041A0003">
      <w:start w:val="1"/>
      <w:numFmt w:val="bullet"/>
      <w:lvlText w:val="o"/>
      <w:lvlJc w:val="left"/>
      <w:pPr>
        <w:ind w:left="720" w:hanging="360"/>
      </w:pPr>
      <w:rPr>
        <w:rFonts w:ascii="Courier New" w:hAnsi="Courier New" w:cs="Courier Ne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78925527"/>
    <w:multiLevelType w:val="hybridMultilevel"/>
    <w:tmpl w:val="D37A7F9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89360C0"/>
    <w:multiLevelType w:val="hybridMultilevel"/>
    <w:tmpl w:val="FBA468A8"/>
    <w:lvl w:ilvl="0" w:tplc="39B8C08A">
      <w:start w:val="3"/>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7E055FBE"/>
    <w:multiLevelType w:val="hybridMultilevel"/>
    <w:tmpl w:val="F2541A54"/>
    <w:lvl w:ilvl="0" w:tplc="42ECE036">
      <w:start w:val="1"/>
      <w:numFmt w:val="upperRoman"/>
      <w:lvlText w:val="%1."/>
      <w:lvlJc w:val="left"/>
      <w:pPr>
        <w:ind w:left="1080" w:hanging="72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num w:numId="1">
    <w:abstractNumId w:val="6"/>
  </w:num>
  <w:num w:numId="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2"/>
  </w:num>
  <w:num w:numId="9">
    <w:abstractNumId w:val="17"/>
  </w:num>
  <w:num w:numId="10">
    <w:abstractNumId w:val="9"/>
  </w:num>
  <w:num w:numId="11">
    <w:abstractNumId w:val="10"/>
  </w:num>
  <w:num w:numId="12">
    <w:abstractNumId w:val="12"/>
  </w:num>
  <w:num w:numId="13">
    <w:abstractNumId w:val="5"/>
  </w:num>
  <w:num w:numId="14">
    <w:abstractNumId w:val="14"/>
  </w:num>
  <w:num w:numId="15">
    <w:abstractNumId w:val="8"/>
  </w:num>
  <w:num w:numId="16">
    <w:abstractNumId w:val="15"/>
  </w:num>
  <w:num w:numId="17">
    <w:abstractNumId w:val="13"/>
  </w:num>
  <w:num w:numId="18">
    <w:abstractNumId w:val="1"/>
  </w:num>
  <w:num w:numId="19">
    <w:abstractNumId w:val="16"/>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5EF0"/>
    <w:rsid w:val="0001006C"/>
    <w:rsid w:val="00010818"/>
    <w:rsid w:val="0007519F"/>
    <w:rsid w:val="0008560A"/>
    <w:rsid w:val="000B7D47"/>
    <w:rsid w:val="000D2A03"/>
    <w:rsid w:val="000F0C51"/>
    <w:rsid w:val="000F2256"/>
    <w:rsid w:val="00116D8B"/>
    <w:rsid w:val="00127CE1"/>
    <w:rsid w:val="00133886"/>
    <w:rsid w:val="00134273"/>
    <w:rsid w:val="00137894"/>
    <w:rsid w:val="00141DEA"/>
    <w:rsid w:val="0014326A"/>
    <w:rsid w:val="00157849"/>
    <w:rsid w:val="00182714"/>
    <w:rsid w:val="001964AF"/>
    <w:rsid w:val="001A4A23"/>
    <w:rsid w:val="001A7D48"/>
    <w:rsid w:val="001D2AAD"/>
    <w:rsid w:val="001E1469"/>
    <w:rsid w:val="001E1661"/>
    <w:rsid w:val="001F00AB"/>
    <w:rsid w:val="001F2508"/>
    <w:rsid w:val="002013C2"/>
    <w:rsid w:val="00213FCF"/>
    <w:rsid w:val="002334CE"/>
    <w:rsid w:val="00263C2B"/>
    <w:rsid w:val="002815B7"/>
    <w:rsid w:val="00287B39"/>
    <w:rsid w:val="0029215A"/>
    <w:rsid w:val="002D3F10"/>
    <w:rsid w:val="002F6DA0"/>
    <w:rsid w:val="0030156A"/>
    <w:rsid w:val="00312308"/>
    <w:rsid w:val="0032477E"/>
    <w:rsid w:val="003543A3"/>
    <w:rsid w:val="0037301E"/>
    <w:rsid w:val="00377D75"/>
    <w:rsid w:val="00390100"/>
    <w:rsid w:val="003A6E50"/>
    <w:rsid w:val="003B0821"/>
    <w:rsid w:val="003B6FF4"/>
    <w:rsid w:val="003D6B40"/>
    <w:rsid w:val="0042390F"/>
    <w:rsid w:val="004371E9"/>
    <w:rsid w:val="00447447"/>
    <w:rsid w:val="0045391F"/>
    <w:rsid w:val="00461384"/>
    <w:rsid w:val="0047357A"/>
    <w:rsid w:val="00480F77"/>
    <w:rsid w:val="00492159"/>
    <w:rsid w:val="004B7F35"/>
    <w:rsid w:val="004C6D1E"/>
    <w:rsid w:val="004C7586"/>
    <w:rsid w:val="004E0809"/>
    <w:rsid w:val="004E3766"/>
    <w:rsid w:val="00505DF1"/>
    <w:rsid w:val="00515959"/>
    <w:rsid w:val="00516BB0"/>
    <w:rsid w:val="00517917"/>
    <w:rsid w:val="0052082F"/>
    <w:rsid w:val="005224E2"/>
    <w:rsid w:val="00522FE0"/>
    <w:rsid w:val="005307E7"/>
    <w:rsid w:val="005315EB"/>
    <w:rsid w:val="00542EF6"/>
    <w:rsid w:val="00583CD1"/>
    <w:rsid w:val="00585294"/>
    <w:rsid w:val="005B0C45"/>
    <w:rsid w:val="005F2B19"/>
    <w:rsid w:val="006059FF"/>
    <w:rsid w:val="00635AC3"/>
    <w:rsid w:val="006549CD"/>
    <w:rsid w:val="00664285"/>
    <w:rsid w:val="00664F3E"/>
    <w:rsid w:val="00684A49"/>
    <w:rsid w:val="006B24CC"/>
    <w:rsid w:val="006D14F1"/>
    <w:rsid w:val="006F2DFE"/>
    <w:rsid w:val="00706DBB"/>
    <w:rsid w:val="007204A7"/>
    <w:rsid w:val="0072532C"/>
    <w:rsid w:val="0074164F"/>
    <w:rsid w:val="0075727E"/>
    <w:rsid w:val="00762742"/>
    <w:rsid w:val="00774A9E"/>
    <w:rsid w:val="007757E7"/>
    <w:rsid w:val="007A08C1"/>
    <w:rsid w:val="007A4A79"/>
    <w:rsid w:val="007B25D7"/>
    <w:rsid w:val="0080141A"/>
    <w:rsid w:val="0082128C"/>
    <w:rsid w:val="00832DBA"/>
    <w:rsid w:val="00860367"/>
    <w:rsid w:val="00897722"/>
    <w:rsid w:val="008B0813"/>
    <w:rsid w:val="008D0BFC"/>
    <w:rsid w:val="008D57CB"/>
    <w:rsid w:val="008D76C1"/>
    <w:rsid w:val="009150CC"/>
    <w:rsid w:val="00934F74"/>
    <w:rsid w:val="00964677"/>
    <w:rsid w:val="009741C2"/>
    <w:rsid w:val="00993B72"/>
    <w:rsid w:val="009C0A78"/>
    <w:rsid w:val="009E77B3"/>
    <w:rsid w:val="009F7FBB"/>
    <w:rsid w:val="00A11D92"/>
    <w:rsid w:val="00A11DD7"/>
    <w:rsid w:val="00A2244D"/>
    <w:rsid w:val="00A27A56"/>
    <w:rsid w:val="00A36A26"/>
    <w:rsid w:val="00A37CB2"/>
    <w:rsid w:val="00A5084D"/>
    <w:rsid w:val="00A514D1"/>
    <w:rsid w:val="00A57CC5"/>
    <w:rsid w:val="00A63CFE"/>
    <w:rsid w:val="00A809F5"/>
    <w:rsid w:val="00A9699B"/>
    <w:rsid w:val="00AA065A"/>
    <w:rsid w:val="00AA4575"/>
    <w:rsid w:val="00AA5B22"/>
    <w:rsid w:val="00AB4612"/>
    <w:rsid w:val="00AD27F1"/>
    <w:rsid w:val="00AE3383"/>
    <w:rsid w:val="00AF4419"/>
    <w:rsid w:val="00AF6B7D"/>
    <w:rsid w:val="00B15689"/>
    <w:rsid w:val="00B4327F"/>
    <w:rsid w:val="00B62F63"/>
    <w:rsid w:val="00B70A5F"/>
    <w:rsid w:val="00B855F6"/>
    <w:rsid w:val="00B90746"/>
    <w:rsid w:val="00BA7CFC"/>
    <w:rsid w:val="00BC7A57"/>
    <w:rsid w:val="00BF0DB3"/>
    <w:rsid w:val="00BF5B17"/>
    <w:rsid w:val="00C155C6"/>
    <w:rsid w:val="00C20E0B"/>
    <w:rsid w:val="00C5166E"/>
    <w:rsid w:val="00C5380A"/>
    <w:rsid w:val="00C53DB1"/>
    <w:rsid w:val="00C817FB"/>
    <w:rsid w:val="00C83B9B"/>
    <w:rsid w:val="00C9462B"/>
    <w:rsid w:val="00CA5412"/>
    <w:rsid w:val="00CD4F99"/>
    <w:rsid w:val="00CF049F"/>
    <w:rsid w:val="00D013E3"/>
    <w:rsid w:val="00D1170F"/>
    <w:rsid w:val="00D15C86"/>
    <w:rsid w:val="00D27139"/>
    <w:rsid w:val="00D362C8"/>
    <w:rsid w:val="00D45479"/>
    <w:rsid w:val="00D459CD"/>
    <w:rsid w:val="00D60AC3"/>
    <w:rsid w:val="00D61F56"/>
    <w:rsid w:val="00D663D8"/>
    <w:rsid w:val="00DA13B1"/>
    <w:rsid w:val="00DD7BA3"/>
    <w:rsid w:val="00DF0360"/>
    <w:rsid w:val="00E131F5"/>
    <w:rsid w:val="00E1783E"/>
    <w:rsid w:val="00E22472"/>
    <w:rsid w:val="00E37789"/>
    <w:rsid w:val="00E44B52"/>
    <w:rsid w:val="00E50A86"/>
    <w:rsid w:val="00E763D5"/>
    <w:rsid w:val="00E9095A"/>
    <w:rsid w:val="00E92DC5"/>
    <w:rsid w:val="00EA21AE"/>
    <w:rsid w:val="00EA5EF0"/>
    <w:rsid w:val="00ED00E6"/>
    <w:rsid w:val="00ED0D9C"/>
    <w:rsid w:val="00ED4C9C"/>
    <w:rsid w:val="00F34EAE"/>
    <w:rsid w:val="00F55397"/>
    <w:rsid w:val="00F65A48"/>
    <w:rsid w:val="00F713E9"/>
    <w:rsid w:val="00F7711B"/>
    <w:rsid w:val="00FE053F"/>
    <w:rsid w:val="00FF19DF"/>
    <w:rsid w:val="00FF3D46"/>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B2C5E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F049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EA5EF0"/>
    <w:rPr>
      <w:sz w:val="16"/>
      <w:szCs w:val="16"/>
    </w:rPr>
  </w:style>
  <w:style w:type="paragraph" w:styleId="CommentText">
    <w:name w:val="annotation text"/>
    <w:basedOn w:val="Normal"/>
    <w:link w:val="CommentTextChar"/>
    <w:uiPriority w:val="99"/>
    <w:semiHidden/>
    <w:unhideWhenUsed/>
    <w:rsid w:val="00EA5EF0"/>
    <w:pPr>
      <w:spacing w:line="240" w:lineRule="auto"/>
    </w:pPr>
    <w:rPr>
      <w:sz w:val="20"/>
      <w:szCs w:val="20"/>
    </w:rPr>
  </w:style>
  <w:style w:type="character" w:customStyle="1" w:styleId="CommentTextChar">
    <w:name w:val="Comment Text Char"/>
    <w:basedOn w:val="DefaultParagraphFont"/>
    <w:link w:val="CommentText"/>
    <w:uiPriority w:val="99"/>
    <w:semiHidden/>
    <w:rsid w:val="00EA5EF0"/>
    <w:rPr>
      <w:sz w:val="20"/>
      <w:szCs w:val="20"/>
    </w:rPr>
  </w:style>
  <w:style w:type="paragraph" w:styleId="ListParagraph">
    <w:name w:val="List Paragraph"/>
    <w:basedOn w:val="Normal"/>
    <w:uiPriority w:val="34"/>
    <w:qFormat/>
    <w:rsid w:val="00EA5EF0"/>
    <w:pPr>
      <w:ind w:left="720"/>
      <w:contextualSpacing/>
    </w:pPr>
  </w:style>
  <w:style w:type="paragraph" w:styleId="BalloonText">
    <w:name w:val="Balloon Text"/>
    <w:basedOn w:val="Normal"/>
    <w:link w:val="BalloonTextChar"/>
    <w:uiPriority w:val="99"/>
    <w:semiHidden/>
    <w:unhideWhenUsed/>
    <w:rsid w:val="00EA5E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A5EF0"/>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D663D8"/>
    <w:rPr>
      <w:b/>
      <w:bCs/>
    </w:rPr>
  </w:style>
  <w:style w:type="character" w:customStyle="1" w:styleId="CommentSubjectChar">
    <w:name w:val="Comment Subject Char"/>
    <w:basedOn w:val="CommentTextChar"/>
    <w:link w:val="CommentSubject"/>
    <w:uiPriority w:val="99"/>
    <w:semiHidden/>
    <w:rsid w:val="00D663D8"/>
    <w:rPr>
      <w:b/>
      <w:bCs/>
      <w:sz w:val="20"/>
      <w:szCs w:val="20"/>
    </w:rPr>
  </w:style>
  <w:style w:type="paragraph" w:styleId="Header">
    <w:name w:val="header"/>
    <w:basedOn w:val="Normal"/>
    <w:link w:val="HeaderChar"/>
    <w:uiPriority w:val="99"/>
    <w:unhideWhenUsed/>
    <w:rsid w:val="0045391F"/>
    <w:pPr>
      <w:tabs>
        <w:tab w:val="center" w:pos="4536"/>
        <w:tab w:val="right" w:pos="9072"/>
      </w:tabs>
      <w:spacing w:after="0" w:line="240" w:lineRule="auto"/>
    </w:pPr>
  </w:style>
  <w:style w:type="character" w:customStyle="1" w:styleId="HeaderChar">
    <w:name w:val="Header Char"/>
    <w:basedOn w:val="DefaultParagraphFont"/>
    <w:link w:val="Header"/>
    <w:uiPriority w:val="99"/>
    <w:rsid w:val="0045391F"/>
  </w:style>
  <w:style w:type="paragraph" w:styleId="Footer">
    <w:name w:val="footer"/>
    <w:basedOn w:val="Normal"/>
    <w:link w:val="FooterChar"/>
    <w:uiPriority w:val="99"/>
    <w:unhideWhenUsed/>
    <w:rsid w:val="0045391F"/>
    <w:pPr>
      <w:tabs>
        <w:tab w:val="center" w:pos="4536"/>
        <w:tab w:val="right" w:pos="9072"/>
      </w:tabs>
      <w:spacing w:after="0" w:line="240" w:lineRule="auto"/>
    </w:pPr>
  </w:style>
  <w:style w:type="character" w:customStyle="1" w:styleId="FooterChar">
    <w:name w:val="Footer Char"/>
    <w:basedOn w:val="DefaultParagraphFont"/>
    <w:link w:val="Footer"/>
    <w:uiPriority w:val="99"/>
    <w:rsid w:val="0045391F"/>
  </w:style>
  <w:style w:type="character" w:styleId="Hyperlink">
    <w:name w:val="Hyperlink"/>
    <w:basedOn w:val="DefaultParagraphFont"/>
    <w:uiPriority w:val="99"/>
    <w:unhideWhenUsed/>
    <w:rsid w:val="004B7F35"/>
    <w:rPr>
      <w:color w:val="0563C1" w:themeColor="hyperlink"/>
      <w:u w:val="single"/>
    </w:rPr>
  </w:style>
  <w:style w:type="paragraph" w:styleId="FootnoteText">
    <w:name w:val="footnote text"/>
    <w:basedOn w:val="Normal"/>
    <w:link w:val="FootnoteTextChar"/>
    <w:uiPriority w:val="99"/>
    <w:semiHidden/>
    <w:unhideWhenUsed/>
    <w:rsid w:val="008D76C1"/>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D76C1"/>
    <w:rPr>
      <w:sz w:val="20"/>
      <w:szCs w:val="20"/>
    </w:rPr>
  </w:style>
  <w:style w:type="character" w:styleId="FootnoteReference">
    <w:name w:val="footnote reference"/>
    <w:basedOn w:val="DefaultParagraphFont"/>
    <w:uiPriority w:val="99"/>
    <w:semiHidden/>
    <w:unhideWhenUsed/>
    <w:rsid w:val="008D76C1"/>
    <w:rPr>
      <w:vertAlign w:val="superscript"/>
    </w:rPr>
  </w:style>
  <w:style w:type="table" w:styleId="TableGrid">
    <w:name w:val="Table Grid"/>
    <w:basedOn w:val="TableNormal"/>
    <w:uiPriority w:val="39"/>
    <w:rsid w:val="00FE05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50906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F908202-4913-4D63-AB26-1B21902813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4181</Words>
  <Characters>23835</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2019-02-24T21:18:00Z</dcterms:created>
  <dcterms:modified xsi:type="dcterms:W3CDTF">2020-12-03T13:44:00Z</dcterms:modified>
</cp:coreProperties>
</file>