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6A4" w:rsidRDefault="00FD16A4" w:rsidP="00FD16A4">
      <w:pPr>
        <w:spacing w:line="288" w:lineRule="atLeast"/>
        <w:jc w:val="center"/>
        <w:outlineLvl w:val="1"/>
        <w:rPr>
          <w:rFonts w:ascii="Minion Pro" w:eastAsia="Times New Roman" w:hAnsi="Minion Pro" w:cs="Helvetica"/>
          <w:color w:val="3F7FC3"/>
          <w:sz w:val="33"/>
          <w:szCs w:val="33"/>
        </w:rPr>
      </w:pPr>
      <w:r>
        <w:rPr>
          <w:rFonts w:ascii="Minion Pro" w:eastAsia="Times New Roman" w:hAnsi="Minion Pro" w:cs="Helvetica"/>
          <w:color w:val="3F7FC3"/>
          <w:sz w:val="33"/>
          <w:szCs w:val="33"/>
        </w:rPr>
        <w:t xml:space="preserve">Narodne novine br. </w:t>
      </w:r>
      <w:r w:rsidRPr="0091483F">
        <w:rPr>
          <w:rFonts w:ascii="Minion Pro" w:eastAsia="Times New Roman" w:hAnsi="Minion Pro" w:cs="Helvetica"/>
          <w:color w:val="3F7FC3"/>
          <w:sz w:val="33"/>
          <w:szCs w:val="33"/>
        </w:rPr>
        <w:t>115/2018 </w:t>
      </w:r>
    </w:p>
    <w:p w:rsidR="00FD16A4" w:rsidRPr="00FD16A4" w:rsidRDefault="00FD16A4" w:rsidP="00FD16A4">
      <w:pPr>
        <w:spacing w:line="288" w:lineRule="atLeast"/>
        <w:jc w:val="center"/>
        <w:outlineLvl w:val="1"/>
        <w:rPr>
          <w:rFonts w:ascii="Minion Pro" w:eastAsia="Times New Roman" w:hAnsi="Minion Pro" w:cs="Helvetica"/>
          <w:color w:val="3F7FC3"/>
          <w:sz w:val="33"/>
          <w:szCs w:val="33"/>
        </w:rPr>
      </w:pPr>
      <w:r w:rsidRPr="00FD16A4">
        <w:rPr>
          <w:rFonts w:ascii="Minion Pro" w:eastAsia="Times New Roman" w:hAnsi="Minion Pro" w:cs="Helvetica"/>
          <w:color w:val="3F7FC3"/>
          <w:sz w:val="33"/>
          <w:szCs w:val="33"/>
        </w:rPr>
        <w:t>Pravilnik o prihvatljivosti izdataka</w:t>
      </w:r>
    </w:p>
    <w:p w:rsidR="00FD16A4" w:rsidRPr="0091483F" w:rsidRDefault="00FD16A4" w:rsidP="00FD16A4">
      <w:pPr>
        <w:spacing w:after="225" w:line="360" w:lineRule="atLeast"/>
        <w:jc w:val="center"/>
        <w:outlineLvl w:val="2"/>
        <w:rPr>
          <w:rFonts w:ascii="Times New Roman" w:eastAsia="Times New Roman" w:hAnsi="Times New Roman" w:cs="Times New Roman"/>
          <w:vanish/>
        </w:rPr>
      </w:pPr>
      <w:r w:rsidRPr="0091483F">
        <w:rPr>
          <w:rFonts w:ascii="Times New Roman" w:eastAsia="Times New Roman" w:hAnsi="Times New Roman" w:cs="Times New Roman"/>
          <w:vanish/>
        </w:rPr>
        <w:t>NN 115/2018 (20.12.2018.), Pravilnik o prihvatljivosti izdataka</w:t>
      </w:r>
    </w:p>
    <w:p w:rsidR="00FD16A4" w:rsidRPr="0091483F" w:rsidRDefault="00FD16A4" w:rsidP="00FD16A4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Ministarstvo regionalnoga razvoja i fondova Europske unije</w:t>
      </w:r>
    </w:p>
    <w:p w:rsidR="0091483F" w:rsidRDefault="0091483F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bookmarkStart w:id="0" w:name="_GoBack"/>
      <w:bookmarkEnd w:id="0"/>
      <w:r w:rsidRPr="0091483F">
        <w:rPr>
          <w:rFonts w:ascii="Times New Roman" w:eastAsia="Times New Roman" w:hAnsi="Times New Roman" w:cs="Times New Roman"/>
        </w:rPr>
        <w:t>Na temelju članka 5. stavka 3. točke 2. Uredbe o tijelima u sustavima upravljanja i kontrole korištenja Europskog socijalnog fonda, Europskog fonda za regionalni razvoj i Kohezijskog fonda, u vezi s ciljem »Ulaganje za rast i radna mjesta« (»Narodne novine«, br. 107/14, 23/15, 129/15, 15/17 i 18/17 – ispravak), ministrica regionalnoga razvoja i fondova Europske unije donosi</w:t>
      </w:r>
    </w:p>
    <w:p w:rsidR="00CD1CC0" w:rsidRPr="0091483F" w:rsidRDefault="00CD1CC0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</w:p>
    <w:p w:rsidR="00FD16A4" w:rsidRPr="0091483F" w:rsidRDefault="00FD16A4" w:rsidP="00FD16A4">
      <w:pPr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</w:rPr>
      </w:pPr>
      <w:r w:rsidRPr="0091483F">
        <w:rPr>
          <w:rFonts w:ascii="Times New Roman" w:eastAsia="Times New Roman" w:hAnsi="Times New Roman" w:cs="Times New Roman"/>
          <w:b/>
          <w:bCs/>
        </w:rPr>
        <w:t>PRAVILNIK</w:t>
      </w:r>
    </w:p>
    <w:p w:rsidR="00FD16A4" w:rsidRPr="0091483F" w:rsidRDefault="00FD16A4" w:rsidP="00FD16A4">
      <w:pPr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</w:rPr>
      </w:pPr>
      <w:r w:rsidRPr="0091483F">
        <w:rPr>
          <w:rFonts w:ascii="Times New Roman" w:eastAsia="Times New Roman" w:hAnsi="Times New Roman" w:cs="Times New Roman"/>
          <w:b/>
          <w:bCs/>
        </w:rPr>
        <w:t>O PRIHVATLJIVOSTI IZDATAKA</w:t>
      </w:r>
    </w:p>
    <w:p w:rsidR="00CD1CC0" w:rsidRPr="0091483F" w:rsidRDefault="00CD1CC0" w:rsidP="00FD16A4">
      <w:pPr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</w:rPr>
      </w:pPr>
    </w:p>
    <w:p w:rsidR="00FD16A4" w:rsidRPr="0091483F" w:rsidRDefault="00FD16A4" w:rsidP="00FD16A4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Članak 1.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(1) Ovim se Pravilnikom utvrđuju pravila prihvatljivosti izdataka u okviru Operativnog programa »Konkurentnost i kohezija« u financijskom razdoblju 2014. – 2020. (u daljnjem tekstu: Operativni program), odnosno operacija koje se u okviru Operativnog programa sufinanciraju iz Europskog fonda za regionalni razvoj (u daljnjem tekstu: EFRR) i Kohezijskog fonda (u daljnjem tekstu: KF).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(2) Ovim se Pravilnikom utvrđuju i pravila prihvatljivosti izdataka u okviru operacija Operativnog programa, koji su, u skladu s člankom 98. stavkom 2. Uredbe (EU) br. 1303/2013, prihvatljivi za potporu iz Europskog socijalnog fonda (u daljnjem tekstu: ESF).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(3) Ovaj Pravilnik ne primjenjuje se na izdatke Operativnog programa financirane putem financijskih instrumenata, povratne pomoći ili nagrada.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(4) Ovaj Pravilnik primjenjuju tijela sustava upravljanja i kontrole Operativnog programa, utvrđena u Zakonu o uspostavi institucionalnog okvira za provedbu europskih strukturnih i investicijskih fondova u Republici Hrvatskoj u financijskom razdoblju 2014. – 2020. (»Narodne novine« broj 92/14) i Uredbi o tijelima u sustavima upravljanja i kontrole korištenja Europskog socijalnog fonda, Europskog fonda za regionalni razvoj i Kohezijskog fonda, u vezi s ciljem »Ulaganje za rast i radna mjesta« (»Narodne novine«, br. 107/14, 23/15, 129/15, 15/17 i 18/17 – ispravak, u daljnjem tekstu: Uredba), prijavitelji na poziv na dodjelu bespovratnih sredstava, korisnici bespovratnih sredstava te njihovi partneri.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(5) Uredba (EU) br. 1303/2013 podrazumijeva Uredbu (EU) br. 1303/2013 Europskog parlamenta i Vijeća od 17. prosinca 2013. o utvrđivanju zajedničkih odredbi o Europskom fondu za regionalni razvoj, Europskom socijalnom fondu, Kohezijskom fondu, Europskom poljoprivrednom fondu za ruralni razvoj i Europskom fondu za pomorstvo i ribarstvo i o utvrđivanju općih odredbi o Europskom fondu za regionalni razvoj, Europskom socijalnom fondu, Kohezijskom fondu i Europskom fondu za pomorstvo i ribarstvo te o stavljanju izvan snage Uredbe Vijeća (EZ) br. 1083/2006 od 11. srpnja 2006. (SL L 347, 20. 12. 2013.) te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1. Uredbu (EU) 2015/1839 Europskog parlamenta i vijeća od 14. listopada 2015.o izmjeni Uredbe (EU) br. 1303/2013 s obzirom na posebne mjere za Grčku (SL L 270, 15. 10. 2015.)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 xml:space="preserve">2. Ispravak Uredbe (EU) br. 1303/2013 Europskog parlamenta i Vijeća od 17. prosinca 2013. o utvrđivanju zajedničkih odredbi o Europskom fondu za regionalni razvoj, Europskom socijalnom </w:t>
      </w:r>
      <w:r w:rsidRPr="0091483F">
        <w:rPr>
          <w:rFonts w:ascii="Times New Roman" w:eastAsia="Times New Roman" w:hAnsi="Times New Roman" w:cs="Times New Roman"/>
        </w:rPr>
        <w:lastRenderedPageBreak/>
        <w:t>fondu, Kohezijskom fondu, Europskom poljoprivrednom fondu za ruralni razvoj i Europskom fondu za pomorstvo i ribarstvo i o utvrđivanju općih odredbi o Europskom fondu za regionalni razvoj, Europskom socijalnom fondu, Kohezijskom fondu i Europskom fondu za pomorstvo i ribarstvo te o stavljanju izvan snage Uredbe Vijeća (EZ) br. 1083/2006 (SL L 200, 26. 7. 2016.)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3. Uredbu (EU) 2016/2135 Europskog parlamenta i Vijeća od 23. studenoga 2016. o izmjeni Uredbe (EU) br. 1303/2013 u pogledu određenih odredaba koje se odnose na financijsko upravljanje za određene države članice koje su u poteškoćama ili kojima prijete ozbiljne poteškoće u odnosu na njihovu financijsku stabilnost (SL L 338, 13. 12. 2016.)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4. Uredbu (EU) 2017/825 Europskog parlamenta i Vijeća od 17. svibnja 2017. o uspostavi Programa potpore strukturnim reformama za razdoblje od 2017. do 2020. i o izmjeni uredbi (EU) br. 1303/2013 i (EU) br. 1305/2013 (SL L 129, 19. 5. 2017.)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5. Uredbu (EU) 2017/1199 Europskog parlamenta i Vijeća od 4. srpnja 2017. o izmjeni Uredbe (EU) br. 1303/2013 u pogledu posebnih mjera za pružanje dodatne potpore državama članicama pogođenima prirodnim katastrofama (SL L 176, 7. 7. 2017.)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6. Uredbu (EU) 2017/2305 Europskog parlamenta i Vijeća od 12. prosinca 2017. o izmjeni Uredbe (EU) br. 1303/2013 u pogledu promjena koje se odnose na sredstva za gospodarsku, socijalnu i teritorijalnu koheziju te sredstva za cilj »Ulaganje za rast i radna mjesta« i cilj »Europska teritorijalna suradnja« (SL L 335, 15.12.2017.)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7. Uredbu (EU, Euratom) 2018/1046 Europskog parlamenta i Vijeća od 18. srpnja 2018. o financijskim pravilima koja se primjenjuju na opći proračun Unije, o izmjeni uredaba (EU) br. 1296/2013, (EU) br. 1301/2013, (EU) br. 1303/2013, (EU) br. 1304/2013, (EU) br. 1309/2013, (EU) br. 1316/2013, (EU) br. 223/2014, (EU) br. 283/2014 i Odluke br. 541/2014/EU te o stavljanju izvan snage Uredbe (EU, Euratom) br. 966/2012 (SL L 193, 30. 7. 2018.)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8. Ispravak Uredbe (EU, Euratom) 2018/1046 Europskog parlamenta i Vijeća od 18. srpnja 2018. o financijskim pravilima koja se primjenjuju na opći proračun Unije, o izmjeni uredaba (EU) br. 1296/2013, (EU) br. 1301/2013, (EU) br. 1303/2013, (EU) br. 1304/2013, (EU) br. 1309/2013, (EU) br. 1316/2013, (EU) br. 223/2014, (EU) br. 283/2014 i Odluke br. 541/2014/EU te o stavljanju izvan snage Uredbe (EU, Euratom) br. 966/2012 (SL L 294, 21. 11. 2018.).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(6) Uredba o Europskom fondu za regionalni razvoj podrazumijeva Uredbu (EU) br. 1301/2013 Europskog parlamenta i Vijeća od 17. prosinca 2013. o Europskom fondu za regionalni razvoj i o posebnim odredbama o cilju »Ulaganje za rast i radna mjesta« te stavljanju izvan snage Uredbe (EZ) br. 1080/2006 (SL L 347, 20. 12. 2013.) i Uredbu (EU, Euratom) 2018/1046 Europskog parlamenta i Vijeća od 18. srpnja 2018. o financijskim pravilima koja se primjenjuju na opći proračun Unije, o izmjeni uredaba (EU) br. 1296/2013, (EU) br. 1301/2013, (EU) br. 1303/2013, (EU) br. 1304/2013, (EU) br. 1309/2013, (EU) br. 1316/2013, (EU) br. 223/2014, (EU) br. 283/2014 i Odluke br. 541/2014/EU te o stavljanju izvan snage Uredbe (EU, Euratom) br. 966/2012 (SL L 193, 30. 7. 2018.).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(7) Uredba o Kohezijskom fondu podrazumijeva Uredbu (EU) br. 1300/2013 Europskog parlamenta i Vijeća od 17. prosinca 2013. o Kohezijskom fondu i stavljanju izvan snage Uredbe Vijeća (EZ) br. 1084/2006 (SL L 193, 30. 7. 2018.).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 xml:space="preserve">(8) Pravila primjenjiva na Europski socijalni fond podrazumijevaju Uredbu (EU) br. 1304/2013 Europskog parlamenta i Vijeća od 17. prosinca 2013. o Europskom socijalnom fondu i stavljanju izvan </w:t>
      </w:r>
      <w:r w:rsidRPr="0091483F">
        <w:rPr>
          <w:rFonts w:ascii="Times New Roman" w:eastAsia="Times New Roman" w:hAnsi="Times New Roman" w:cs="Times New Roman"/>
        </w:rPr>
        <w:lastRenderedPageBreak/>
        <w:t xml:space="preserve">snage Uredbe Vijeća (EZ) br. 1081/2006 (SL L 347, 20. 12. 2013.), Uredbu (EU) 2015/779 Europskog parlamenta i Vijeća od 20. svibnja 2015. o izmjeni Uredbe (EU) br. 1304/2013 u pogledu dodatnog iznosa početnog </w:t>
      </w:r>
      <w:proofErr w:type="spellStart"/>
      <w:r w:rsidRPr="0091483F">
        <w:rPr>
          <w:rFonts w:ascii="Times New Roman" w:eastAsia="Times New Roman" w:hAnsi="Times New Roman" w:cs="Times New Roman"/>
        </w:rPr>
        <w:t>predfinanciranja</w:t>
      </w:r>
      <w:proofErr w:type="spellEnd"/>
      <w:r w:rsidRPr="0091483F">
        <w:rPr>
          <w:rFonts w:ascii="Times New Roman" w:eastAsia="Times New Roman" w:hAnsi="Times New Roman" w:cs="Times New Roman"/>
        </w:rPr>
        <w:t xml:space="preserve"> koji se isplaćuje za operativne programe koji dobivaju potporu iz Inicijative za zapošljavanje mladih (SL L 126, 21.5.2015.) i Uredbu (EU, Euratom) 2018/1046 Europskog parlamenta i Vijeća od 18. srpnja 2018. o financijskim pravilima koja se primjenjuju na opći proračun Unije, o izmjeni uredaba (EU) br. 1296/2013, (EU) br. 1301/2013, (EU) br. 1303/2013, (EU) br. 1304/2013, (EU) br. 1309/2013, (EU) br. 1316/2013, (EU) br. 223/2014, (EU) br. 283/2014 i Odluke br. 541/2014/EU te o stavljanju izvan snage Uredbe (EU, Euratom) br. 966/2012 (SL L 193, 30. 7. 2018.).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(9) Pored pravila iz stavka 8. ovoga članka, pravila primjenjiva na Europski socijalni fond (ESF) podrazumijevaju i nacionalna pravila prihvatljivosti izdataka koja donosi Upravljačko tijelo za Operativni program »Učinkoviti ljudski potencijali«.</w:t>
      </w:r>
    </w:p>
    <w:p w:rsidR="00CD1CC0" w:rsidRPr="0091483F" w:rsidRDefault="00CD1CC0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</w:p>
    <w:p w:rsidR="00FD16A4" w:rsidRPr="0091483F" w:rsidRDefault="00FD16A4" w:rsidP="00FD16A4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Članak 2.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Pojedini pojmovi u smislu ovoga Pravilnika imaju sljedeće značenje: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 xml:space="preserve">1. </w:t>
      </w:r>
      <w:r w:rsidRPr="0091483F">
        <w:rPr>
          <w:rFonts w:ascii="Times New Roman" w:eastAsia="Times New Roman" w:hAnsi="Times New Roman" w:cs="Times New Roman"/>
          <w:i/>
          <w:iCs/>
        </w:rPr>
        <w:t xml:space="preserve">Bespovratna sredstva </w:t>
      </w:r>
      <w:r w:rsidRPr="0091483F">
        <w:rPr>
          <w:rFonts w:ascii="Times New Roman" w:eastAsia="Times New Roman" w:hAnsi="Times New Roman" w:cs="Times New Roman"/>
        </w:rPr>
        <w:t>su sredstva utvrđena u članku 67. Uredbe (EU) br. 1303/2013.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 xml:space="preserve">2. </w:t>
      </w:r>
      <w:r w:rsidRPr="0091483F">
        <w:rPr>
          <w:rFonts w:ascii="Times New Roman" w:eastAsia="Times New Roman" w:hAnsi="Times New Roman" w:cs="Times New Roman"/>
          <w:i/>
          <w:iCs/>
        </w:rPr>
        <w:t xml:space="preserve">ESI fondovi </w:t>
      </w:r>
      <w:r w:rsidRPr="0091483F">
        <w:rPr>
          <w:rFonts w:ascii="Times New Roman" w:eastAsia="Times New Roman" w:hAnsi="Times New Roman" w:cs="Times New Roman"/>
        </w:rPr>
        <w:t>su europski strukturni i investicijski fondovi.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 xml:space="preserve">3. </w:t>
      </w:r>
      <w:r w:rsidRPr="0091483F">
        <w:rPr>
          <w:rFonts w:ascii="Times New Roman" w:eastAsia="Times New Roman" w:hAnsi="Times New Roman" w:cs="Times New Roman"/>
          <w:i/>
          <w:iCs/>
        </w:rPr>
        <w:t xml:space="preserve">Izdatak </w:t>
      </w:r>
      <w:r w:rsidRPr="0091483F">
        <w:rPr>
          <w:rFonts w:ascii="Times New Roman" w:eastAsia="Times New Roman" w:hAnsi="Times New Roman" w:cs="Times New Roman"/>
        </w:rPr>
        <w:t>je trošak koji je plaćen iz sredstava korisnika, odnosno u slučaju doprinosa u naravi, trošak za koji je priznata odgovarajuća vrijednost.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 xml:space="preserve">4. </w:t>
      </w:r>
      <w:r w:rsidRPr="0091483F">
        <w:rPr>
          <w:rFonts w:ascii="Times New Roman" w:eastAsia="Times New Roman" w:hAnsi="Times New Roman" w:cs="Times New Roman"/>
          <w:i/>
          <w:iCs/>
        </w:rPr>
        <w:t xml:space="preserve">Izravni trošak </w:t>
      </w:r>
      <w:r w:rsidRPr="0091483F">
        <w:rPr>
          <w:rFonts w:ascii="Times New Roman" w:eastAsia="Times New Roman" w:hAnsi="Times New Roman" w:cs="Times New Roman"/>
        </w:rPr>
        <w:t>je trošak koji je izravno povezan s ostvarenjem jednog ili više ciljeva operacije.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 xml:space="preserve">5. </w:t>
      </w:r>
      <w:r w:rsidRPr="0091483F">
        <w:rPr>
          <w:rFonts w:ascii="Times New Roman" w:eastAsia="Times New Roman" w:hAnsi="Times New Roman" w:cs="Times New Roman"/>
          <w:i/>
          <w:iCs/>
        </w:rPr>
        <w:t xml:space="preserve">Korisnik </w:t>
      </w:r>
      <w:r w:rsidRPr="0091483F">
        <w:rPr>
          <w:rFonts w:ascii="Times New Roman" w:eastAsia="Times New Roman" w:hAnsi="Times New Roman" w:cs="Times New Roman"/>
        </w:rPr>
        <w:t>je osoba definirana u članku 2. točki 10. Uredbe (EU) br. 1303/2013.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 xml:space="preserve">6. </w:t>
      </w:r>
      <w:r w:rsidRPr="0091483F">
        <w:rPr>
          <w:rFonts w:ascii="Times New Roman" w:eastAsia="Times New Roman" w:hAnsi="Times New Roman" w:cs="Times New Roman"/>
          <w:i/>
          <w:iCs/>
        </w:rPr>
        <w:t xml:space="preserve">Nadležno tijelo </w:t>
      </w:r>
      <w:r w:rsidRPr="0091483F">
        <w:rPr>
          <w:rFonts w:ascii="Times New Roman" w:eastAsia="Times New Roman" w:hAnsi="Times New Roman" w:cs="Times New Roman"/>
        </w:rPr>
        <w:t>je Upravljačko tijelo ili Posredničko tijelo Operativnog programa, utvrđeno u Uredbi.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 xml:space="preserve">7. </w:t>
      </w:r>
      <w:r w:rsidRPr="0091483F">
        <w:rPr>
          <w:rFonts w:ascii="Times New Roman" w:eastAsia="Times New Roman" w:hAnsi="Times New Roman" w:cs="Times New Roman"/>
          <w:i/>
          <w:iCs/>
        </w:rPr>
        <w:t xml:space="preserve">Neizravni trošak </w:t>
      </w:r>
      <w:r w:rsidRPr="0091483F">
        <w:rPr>
          <w:rFonts w:ascii="Times New Roman" w:eastAsia="Times New Roman" w:hAnsi="Times New Roman" w:cs="Times New Roman"/>
        </w:rPr>
        <w:t>je trošak koji nije izravno povezan s ostvarenjem jednog ili više ciljeva operacije. Riječ je o trošku koji je povezan s redovitim poslovanjem te se popis tih troškova utvrđuje u pozivu na dodjelu bespovratnih sredstava.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 xml:space="preserve">8. </w:t>
      </w:r>
      <w:r w:rsidRPr="0091483F">
        <w:rPr>
          <w:rFonts w:ascii="Times New Roman" w:eastAsia="Times New Roman" w:hAnsi="Times New Roman" w:cs="Times New Roman"/>
          <w:i/>
          <w:iCs/>
        </w:rPr>
        <w:t xml:space="preserve">Odbor za praćenje </w:t>
      </w:r>
      <w:r w:rsidRPr="0091483F">
        <w:rPr>
          <w:rFonts w:ascii="Times New Roman" w:eastAsia="Times New Roman" w:hAnsi="Times New Roman" w:cs="Times New Roman"/>
        </w:rPr>
        <w:t>je odbor čije su osnivanje, sastav i dužnosti utvrđeni u člancima 47. – 49. Uredbe (EU) br. 1303/2013.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 xml:space="preserve">9. </w:t>
      </w:r>
      <w:r w:rsidRPr="0091483F">
        <w:rPr>
          <w:rFonts w:ascii="Times New Roman" w:eastAsia="Times New Roman" w:hAnsi="Times New Roman" w:cs="Times New Roman"/>
          <w:i/>
          <w:iCs/>
        </w:rPr>
        <w:t xml:space="preserve">Operacija </w:t>
      </w:r>
      <w:r w:rsidRPr="0091483F">
        <w:rPr>
          <w:rFonts w:ascii="Times New Roman" w:eastAsia="Times New Roman" w:hAnsi="Times New Roman" w:cs="Times New Roman"/>
        </w:rPr>
        <w:t>u skladu s člankom 2. točkom 9. Uredbe (EU) br. 1303/2013 znači projekt, ugovor, aktivnost ili skupinu projekata koje je odabralo Upravljačko tijelo Operativnog programa ili koji su pod njegovom odgovornošću i koji doprinose ostvarivanju ciljeva jednog ili više prioriteta na koje se odnose. U smislu ovog Pravilnika operacija podrazumijeva projekt, osim u slučaju gdje je to u ovom Pravilniku drugačije navedeno.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 xml:space="preserve">10. </w:t>
      </w:r>
      <w:r w:rsidRPr="0091483F">
        <w:rPr>
          <w:rFonts w:ascii="Times New Roman" w:eastAsia="Times New Roman" w:hAnsi="Times New Roman" w:cs="Times New Roman"/>
          <w:i/>
          <w:iCs/>
        </w:rPr>
        <w:t xml:space="preserve">Partner </w:t>
      </w:r>
      <w:r w:rsidRPr="0091483F">
        <w:rPr>
          <w:rFonts w:ascii="Times New Roman" w:eastAsia="Times New Roman" w:hAnsi="Times New Roman" w:cs="Times New Roman"/>
        </w:rPr>
        <w:t>je osoba s kojom korisnik provodi operaciju te udovoljava kriterijima za dodjelu bespovratnih sredstava. Ako korisnik operaciju provodi u suradnji s partnerom, odredbe ovoga Pravilnika primjenjuju se i na partnera.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 xml:space="preserve">11. </w:t>
      </w:r>
      <w:r w:rsidRPr="0091483F">
        <w:rPr>
          <w:rFonts w:ascii="Times New Roman" w:eastAsia="Times New Roman" w:hAnsi="Times New Roman" w:cs="Times New Roman"/>
          <w:i/>
          <w:iCs/>
        </w:rPr>
        <w:t xml:space="preserve">Poziv na dodjelu bespovratnih sredstava </w:t>
      </w:r>
      <w:r w:rsidRPr="0091483F">
        <w:rPr>
          <w:rFonts w:ascii="Times New Roman" w:eastAsia="Times New Roman" w:hAnsi="Times New Roman" w:cs="Times New Roman"/>
        </w:rPr>
        <w:t>je poziv koji objavljuje nadležno tijelo u svrhu dodjele bespovratnih sredstava, pri čemu se utvrđuju uvjeti pod kojima se ta sredstva mogu dodijeliti.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 xml:space="preserve">12. </w:t>
      </w:r>
      <w:r w:rsidRPr="0091483F">
        <w:rPr>
          <w:rFonts w:ascii="Times New Roman" w:eastAsia="Times New Roman" w:hAnsi="Times New Roman" w:cs="Times New Roman"/>
          <w:i/>
          <w:iCs/>
        </w:rPr>
        <w:t xml:space="preserve">Razdoblje prihvatljivosti izdataka </w:t>
      </w:r>
      <w:r w:rsidRPr="0091483F">
        <w:rPr>
          <w:rFonts w:ascii="Times New Roman" w:eastAsia="Times New Roman" w:hAnsi="Times New Roman" w:cs="Times New Roman"/>
        </w:rPr>
        <w:t>je razdoblje koje započinje 1. siječnja 2014. te završava 31. prosinca 2023. Razdoblje prihvatljivosti izdataka može biti utvrđeno u kraćem trajanju, što se definira u pozivu na dodjelu bespovratnih sredstava.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lastRenderedPageBreak/>
        <w:t xml:space="preserve">13. </w:t>
      </w:r>
      <w:r w:rsidRPr="0091483F">
        <w:rPr>
          <w:rFonts w:ascii="Times New Roman" w:eastAsia="Times New Roman" w:hAnsi="Times New Roman" w:cs="Times New Roman"/>
          <w:i/>
          <w:iCs/>
        </w:rPr>
        <w:t xml:space="preserve">Trošak </w:t>
      </w:r>
      <w:r w:rsidRPr="0091483F">
        <w:rPr>
          <w:rFonts w:ascii="Times New Roman" w:eastAsia="Times New Roman" w:hAnsi="Times New Roman" w:cs="Times New Roman"/>
        </w:rPr>
        <w:t>predstavlja iskorištavanje resursa te se, u smislu ovog Pravilnika, s obzirom na povezanost s ostvarenjem jednog ili više ciljeva projekta, dijeli na izravni i neizravni.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 xml:space="preserve">14. </w:t>
      </w:r>
      <w:r w:rsidRPr="0091483F">
        <w:rPr>
          <w:rFonts w:ascii="Times New Roman" w:eastAsia="Times New Roman" w:hAnsi="Times New Roman" w:cs="Times New Roman"/>
          <w:i/>
          <w:iCs/>
        </w:rPr>
        <w:t xml:space="preserve">Trošak osoblja </w:t>
      </w:r>
      <w:r w:rsidRPr="0091483F">
        <w:rPr>
          <w:rFonts w:ascii="Times New Roman" w:eastAsia="Times New Roman" w:hAnsi="Times New Roman" w:cs="Times New Roman"/>
        </w:rPr>
        <w:t>iz članka 68.a Uredbe (EU) br. 1303/2013 predstavlja izravni trošak.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 xml:space="preserve">15. </w:t>
      </w:r>
      <w:r w:rsidRPr="0091483F">
        <w:rPr>
          <w:rFonts w:ascii="Times New Roman" w:eastAsia="Times New Roman" w:hAnsi="Times New Roman" w:cs="Times New Roman"/>
          <w:i/>
          <w:iCs/>
        </w:rPr>
        <w:t xml:space="preserve">Ugovor o dodjeli bespovratnih sredstava </w:t>
      </w:r>
      <w:r w:rsidRPr="0091483F">
        <w:rPr>
          <w:rFonts w:ascii="Times New Roman" w:eastAsia="Times New Roman" w:hAnsi="Times New Roman" w:cs="Times New Roman"/>
        </w:rPr>
        <w:t>je ugovor iz članka 6. stavka 6. Uredbe.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 xml:space="preserve">16. </w:t>
      </w:r>
      <w:r w:rsidRPr="0091483F">
        <w:rPr>
          <w:rFonts w:ascii="Times New Roman" w:eastAsia="Times New Roman" w:hAnsi="Times New Roman" w:cs="Times New Roman"/>
          <w:i/>
          <w:iCs/>
        </w:rPr>
        <w:t xml:space="preserve">Upravljačko tijelo </w:t>
      </w:r>
      <w:r w:rsidRPr="0091483F">
        <w:rPr>
          <w:rFonts w:ascii="Times New Roman" w:eastAsia="Times New Roman" w:hAnsi="Times New Roman" w:cs="Times New Roman"/>
        </w:rPr>
        <w:t>je tijelo iz članka 5. Uredbe.</w:t>
      </w:r>
    </w:p>
    <w:p w:rsidR="00CD1CC0" w:rsidRPr="0091483F" w:rsidRDefault="00CD1CC0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</w:p>
    <w:p w:rsidR="00FD16A4" w:rsidRPr="0091483F" w:rsidRDefault="00FD16A4" w:rsidP="00FD16A4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Članak 3.</w:t>
      </w:r>
    </w:p>
    <w:p w:rsidR="00FD16A4" w:rsidRPr="0091483F" w:rsidRDefault="00FD16A4" w:rsidP="00FD16A4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(1) Izdatak je prihvatljiv ako je: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1. nastao u okviru operacije i u svrhu provedbe operacije, koju je, u skladu s kriterijima koje je odobrio odbor za praćenje Operativnog programa te kriterijima poziva na dodjelu bespovratnih sredstava, za sufinanciranje odabralo nadležno tijelo, za koju je preuzeta obveza u ugovoru o dodjeli bespovratnih sredstava ili u odluci o izravnoj dodjeli sredstava iz Prioritetne osi 10 Operativnog programa – Tehnička pomoć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2. nastao kod korisnika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3. dokaziv u skladu s Uredbom (EU) br. 1303/2013 i odredbama ovoga Pravilnika te uvjetima poziva na dodjelu bespovratnih sredstava te ugovora o dodjeli bespovratnih sredstava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4. u slučaju kada je operacija primila potporu iz jednog ili više ESI fondova ili jednog ili više programa i drugih instrumenata Unije, potpora je primljena u skladu s člankom 65. stavkom 11. Uredbe (EU) br. 1303/2013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 xml:space="preserve">5. osigurana usklađenost s pravilima o državnim potporama i potporama male vrijednosti (de </w:t>
      </w:r>
      <w:proofErr w:type="spellStart"/>
      <w:r w:rsidRPr="0091483F">
        <w:rPr>
          <w:rFonts w:ascii="Times New Roman" w:eastAsia="Times New Roman" w:hAnsi="Times New Roman" w:cs="Times New Roman"/>
          <w:i/>
          <w:iCs/>
        </w:rPr>
        <w:t>minimis</w:t>
      </w:r>
      <w:proofErr w:type="spellEnd"/>
      <w:r w:rsidRPr="0091483F">
        <w:rPr>
          <w:rFonts w:ascii="Times New Roman" w:eastAsia="Times New Roman" w:hAnsi="Times New Roman" w:cs="Times New Roman"/>
          <w:i/>
          <w:iCs/>
        </w:rPr>
        <w:t xml:space="preserve"> </w:t>
      </w:r>
      <w:r w:rsidRPr="0091483F">
        <w:rPr>
          <w:rFonts w:ascii="Times New Roman" w:eastAsia="Times New Roman" w:hAnsi="Times New Roman" w:cs="Times New Roman"/>
        </w:rPr>
        <w:t>potpore), pravilima javne nabave ili pravilima nabave koju provode osobe koje nisu obveznici Zakona o javnoj nabavi, poreznim pravilima i pravilima socijalnog prava, odnosno sa svim na operaciju primjenjivim nacionalnim pravilima i pravilima Unije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6. korisnik u okviru operacije obavio plaćanja dobavljačima roba, izvođačima radova te pružateljima usluga tijekom razdoblja prihvatljivosti izdataka, uz preduvjet da operacija nije fizički završena ili provedena u cijelosti prije nego što je podnesen zahtjev za financiranje nadležnom tijelu Operativnog programa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7. osigurana usklađenost s pravilima iz članka 70. Uredbe (EU) br. 1303/2013 o provedbi operacije na programskom području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8. osigurana usklađenost s pravilima o trajnosti operacija iz članka 71. Uredbe (EU) br. 1303/2013.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(2) Kriteriji iz stavka 1. ovoga članka primjenjuju se kumulativno te predstavljaju opće uvjete prihvatljivosti izdataka.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(3) Kriterij iz stavka 1. točke 6. ovoga članka ne primjenjuju se u slučaju izdataka izračunatih primjenom standardne veličine jediničnih troškova, fiksnih stopa ili fiksnih iznosa, kako je to opisano u člancima 67. – 68.b Uredbe (EU) br. 1303/2013 te doprinosa u naravi i troškova amortizacije.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(4) Iznimno, u odnosu na izdatke izračunate primjenom fiksne stope i fiksnih iznosa, u situacijama kada to proizlazi iz Uredbe (EU) br. 1303/2013, ne primjenjuje se kriterij iz stavka 1. točke 3. ovoga članka.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(5) Kriterij iz stavka 1. točke 7. ovoga članka ne primjenjuje se u slučajevima koje odobri Upravljačko tijelo, ako su ispunjeni uvjeti iz članka 70. stavka 2. točke (a)-(d) i stavka 3. Uredbe (EU) br. 1303/2013.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(6) Prihvatljivost izdataka slijedom izmjene Operativnog programa utvrđuje se u skladu s člankom 65. stavkom 9. Uredbe (EU) br. 1303/2013.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lastRenderedPageBreak/>
        <w:t>(7) Kombinacija različitih oblika bespovratnih sredstava dopuštena je pod uvjetima iz članka 67. Uredbe (EU) br. 1303/2013.</w:t>
      </w:r>
    </w:p>
    <w:p w:rsidR="00CD1CC0" w:rsidRPr="0091483F" w:rsidRDefault="00CD1CC0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</w:p>
    <w:p w:rsidR="00FD16A4" w:rsidRPr="0091483F" w:rsidRDefault="00FD16A4" w:rsidP="00FD16A4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Članak 4.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Izdaci koji se smatraju neprihvatljivima ili uvjetno prihvatljivima, uključujući pripadajuće izuzetke i/ili uvjete primjenjive na EFRR i/ili KF te izdaci koji ispunjavaju uvjete za potporu iz ESF-a, navedeni su u Prilogu – Popis neprihvatljivih i uvjetno prihvatljivih izdataka te pripadajućih izuzetaka i uvjeta, koji je sastavni dio ovoga Pravilnika.</w:t>
      </w:r>
    </w:p>
    <w:p w:rsidR="00FD16A4" w:rsidRPr="0091483F" w:rsidRDefault="00FD16A4" w:rsidP="00FD16A4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Članak 5.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(1) Poziv na dodjelu bespovratnih sredstava usklađen je s ovim Pravilnikom.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(2) Nadležno tijelo za Operativni program može u pozivu na dodjelu bespovratnih sredstava utvrditi detaljnije i/ili restriktivnije uvjete prihvatljivosti izdataka nego je to utvrđeno u ovom Pravilniku, ili utvrditi način postupanja, metodu ili oblik. Način postupanja, metoda ili oblik utvrđuju se obvezno, ako to proizlazi iz zahtijeva Uredbe (EU) br. 1303/2013.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(3) U slučaju iz stavka 2. ovoga članka, ako se pozivom na dodjelu bespovratnih sredstava utvrđuju detaljniji i/ili restriktivniji uvjeti prihvatljivosti izdataka, način postupanja, metoda ili oblik, ili ako iz odredbi ovog Pravilnika proizlazi da će dodatna pravila prihvatljivosti izdataka utvrditi nadležno tijelo u pozivu na dodjelu bespovratnih sredstava, vrijedi ono što je utvrđeno u pozivu na dodjelu bespovratnih sredstava.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(4) Ako je nadležno tijelo drugačije od Upravljačkog tijela za Operativni program, uvjete prihvatljivosti izdataka u skladu sa stavcima 2. i 3. ovoga članka, prethodno odobrava Upravljačko tijelo za Operativni program.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(5) Upravljačko tijelo za Operativni program daje mišljenje u vezi primjene ovog Pravilnika.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(6) Ako pravila utvrđena u članku 1. stavku 5. – 9. ovoga Pravilnika, odnosno njihove naknadne izmjene i dopune utvrđuju obvezne dodatne ili nove uvjete prihvatljivosti, pored uvjeta navedenih u ovom Pravilniku ili pozivu na dodjelu bespovratnih sredstava, primjenjuje se ono što je u njima utvrđeno, na način kako je u njima utvrđeno.</w:t>
      </w:r>
    </w:p>
    <w:p w:rsidR="00CD1CC0" w:rsidRPr="0091483F" w:rsidRDefault="00CD1CC0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</w:p>
    <w:p w:rsidR="00FD16A4" w:rsidRPr="0091483F" w:rsidRDefault="00FD16A4" w:rsidP="00FD16A4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Članak 6.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(1) Ovaj Pravilnik stupa na snagu osmoga dana od dana objave u »Narodnim novinama«.</w:t>
      </w:r>
    </w:p>
    <w:p w:rsidR="00FD16A4" w:rsidRPr="0091483F" w:rsidRDefault="00FD16A4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(2) Stupanjem na snagu ovog Pravilnika prestaje važiti Pravilnik o prihvatljivosti izdataka (»Narodne novine«, broj 143/14).</w:t>
      </w:r>
    </w:p>
    <w:p w:rsidR="00CD1CC0" w:rsidRPr="0091483F" w:rsidRDefault="00CD1CC0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</w:p>
    <w:p w:rsidR="00CD1CC0" w:rsidRPr="0091483F" w:rsidRDefault="00CD1CC0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</w:p>
    <w:p w:rsidR="00CD1CC0" w:rsidRPr="0091483F" w:rsidRDefault="00CD1CC0" w:rsidP="00CD1CC0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</w:p>
    <w:p w:rsidR="00FD16A4" w:rsidRPr="0091483F" w:rsidRDefault="00CD1CC0" w:rsidP="00FD16A4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 xml:space="preserve">                                                                         </w:t>
      </w:r>
      <w:r w:rsidR="00FD16A4" w:rsidRPr="0091483F">
        <w:rPr>
          <w:rFonts w:ascii="Times New Roman" w:eastAsia="Times New Roman" w:hAnsi="Times New Roman" w:cs="Times New Roman"/>
        </w:rPr>
        <w:t>Klasa: 910-04/14-01/168</w:t>
      </w:r>
    </w:p>
    <w:p w:rsidR="00FD16A4" w:rsidRPr="0091483F" w:rsidRDefault="00CD1CC0" w:rsidP="00FD16A4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 xml:space="preserve">                                                                       </w:t>
      </w:r>
      <w:proofErr w:type="spellStart"/>
      <w:r w:rsidR="00FD16A4" w:rsidRPr="0091483F">
        <w:rPr>
          <w:rFonts w:ascii="Times New Roman" w:eastAsia="Times New Roman" w:hAnsi="Times New Roman" w:cs="Times New Roman"/>
        </w:rPr>
        <w:t>Urbroj</w:t>
      </w:r>
      <w:proofErr w:type="spellEnd"/>
      <w:r w:rsidR="00FD16A4" w:rsidRPr="0091483F">
        <w:rPr>
          <w:rFonts w:ascii="Times New Roman" w:eastAsia="Times New Roman" w:hAnsi="Times New Roman" w:cs="Times New Roman"/>
        </w:rPr>
        <w:t>: 538-05-1-1/122-18-26</w:t>
      </w:r>
    </w:p>
    <w:p w:rsidR="00FD16A4" w:rsidRPr="0091483F" w:rsidRDefault="00CD1CC0" w:rsidP="00FD16A4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 xml:space="preserve">                                                                            </w:t>
      </w:r>
      <w:r w:rsidR="00FD16A4" w:rsidRPr="0091483F">
        <w:rPr>
          <w:rFonts w:ascii="Times New Roman" w:eastAsia="Times New Roman" w:hAnsi="Times New Roman" w:cs="Times New Roman"/>
        </w:rPr>
        <w:t>Zagreb, 27. studenoga 2018.</w:t>
      </w:r>
    </w:p>
    <w:p w:rsidR="00FD16A4" w:rsidRPr="0091483F" w:rsidRDefault="00CD1CC0" w:rsidP="00FD16A4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 xml:space="preserve">                                                                     </w:t>
      </w:r>
      <w:r w:rsidR="00FD16A4" w:rsidRPr="0091483F">
        <w:rPr>
          <w:rFonts w:ascii="Times New Roman" w:eastAsia="Times New Roman" w:hAnsi="Times New Roman" w:cs="Times New Roman"/>
        </w:rPr>
        <w:t>Ministrica regionalnoga razvoja</w:t>
      </w:r>
      <w:r w:rsidR="00FD16A4" w:rsidRPr="0091483F">
        <w:rPr>
          <w:rFonts w:ascii="Times New Roman" w:eastAsia="Times New Roman" w:hAnsi="Times New Roman" w:cs="Times New Roman"/>
        </w:rPr>
        <w:br/>
      </w:r>
      <w:r w:rsidRPr="0091483F">
        <w:rPr>
          <w:rFonts w:ascii="Times New Roman" w:eastAsia="Times New Roman" w:hAnsi="Times New Roman" w:cs="Times New Roman"/>
        </w:rPr>
        <w:t xml:space="preserve">                                                                      </w:t>
      </w:r>
      <w:r w:rsidR="00FD16A4" w:rsidRPr="0091483F">
        <w:rPr>
          <w:rFonts w:ascii="Times New Roman" w:eastAsia="Times New Roman" w:hAnsi="Times New Roman" w:cs="Times New Roman"/>
        </w:rPr>
        <w:t>i fondova Europske unije</w:t>
      </w:r>
      <w:r w:rsidR="00FD16A4" w:rsidRPr="0091483F">
        <w:rPr>
          <w:rFonts w:ascii="Times New Roman" w:eastAsia="Times New Roman" w:hAnsi="Times New Roman" w:cs="Times New Roman"/>
        </w:rPr>
        <w:br/>
      </w:r>
      <w:r w:rsidRPr="0091483F">
        <w:rPr>
          <w:rFonts w:ascii="Times New Roman" w:eastAsia="Times New Roman" w:hAnsi="Times New Roman" w:cs="Times New Roman"/>
          <w:b/>
          <w:bCs/>
        </w:rPr>
        <w:t xml:space="preserve">                                                                        </w:t>
      </w:r>
      <w:r w:rsidR="00FD16A4" w:rsidRPr="0091483F">
        <w:rPr>
          <w:rFonts w:ascii="Times New Roman" w:eastAsia="Times New Roman" w:hAnsi="Times New Roman" w:cs="Times New Roman"/>
          <w:b/>
          <w:bCs/>
        </w:rPr>
        <w:t xml:space="preserve">Gabrijela Žalac, dipl. </w:t>
      </w:r>
      <w:proofErr w:type="spellStart"/>
      <w:r w:rsidR="00FD16A4" w:rsidRPr="0091483F">
        <w:rPr>
          <w:rFonts w:ascii="Times New Roman" w:eastAsia="Times New Roman" w:hAnsi="Times New Roman" w:cs="Times New Roman"/>
          <w:b/>
          <w:bCs/>
        </w:rPr>
        <w:t>oec</w:t>
      </w:r>
      <w:proofErr w:type="spellEnd"/>
      <w:r w:rsidR="00FD16A4" w:rsidRPr="0091483F">
        <w:rPr>
          <w:rFonts w:ascii="Times New Roman" w:eastAsia="Times New Roman" w:hAnsi="Times New Roman" w:cs="Times New Roman"/>
          <w:b/>
          <w:bCs/>
        </w:rPr>
        <w:t xml:space="preserve">., </w:t>
      </w:r>
      <w:r w:rsidR="00FD16A4" w:rsidRPr="0091483F">
        <w:rPr>
          <w:rFonts w:ascii="Times New Roman" w:eastAsia="Times New Roman" w:hAnsi="Times New Roman" w:cs="Times New Roman"/>
        </w:rPr>
        <w:t>v. r.</w:t>
      </w:r>
    </w:p>
    <w:p w:rsidR="00CD1CC0" w:rsidRPr="0091483F" w:rsidRDefault="00CD1CC0" w:rsidP="00FD16A4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</w:p>
    <w:p w:rsidR="00CD1CC0" w:rsidRPr="0091483F" w:rsidRDefault="00CD1CC0" w:rsidP="00FD16A4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</w:p>
    <w:p w:rsidR="00CD1CC0" w:rsidRPr="0091483F" w:rsidRDefault="00CD1CC0" w:rsidP="00FD16A4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</w:p>
    <w:p w:rsidR="00CD1CC0" w:rsidRPr="0091483F" w:rsidRDefault="00CD1CC0" w:rsidP="00FD16A4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</w:p>
    <w:p w:rsidR="00CD1CC0" w:rsidRPr="0091483F" w:rsidRDefault="00CD1CC0" w:rsidP="00FD16A4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</w:p>
    <w:p w:rsidR="00CD1CC0" w:rsidRPr="0091483F" w:rsidRDefault="00CD1CC0" w:rsidP="00FD16A4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</w:p>
    <w:p w:rsidR="00CD1CC0" w:rsidRPr="0091483F" w:rsidRDefault="00CD1CC0" w:rsidP="00FD16A4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</w:p>
    <w:p w:rsidR="00CD1CC0" w:rsidRPr="0091483F" w:rsidRDefault="00CD1CC0" w:rsidP="00FD16A4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</w:p>
    <w:p w:rsidR="00CD1CC0" w:rsidRPr="0091483F" w:rsidRDefault="00CD1CC0" w:rsidP="00FD16A4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</w:p>
    <w:p w:rsidR="00CD1CC0" w:rsidRPr="0091483F" w:rsidRDefault="00CD1CC0" w:rsidP="00FD16A4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</w:p>
    <w:p w:rsidR="00CD1CC0" w:rsidRPr="0091483F" w:rsidRDefault="00CD1CC0" w:rsidP="00FD16A4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</w:p>
    <w:p w:rsidR="00CD1CC0" w:rsidRPr="0091483F" w:rsidRDefault="00CD1CC0" w:rsidP="00FD16A4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</w:p>
    <w:p w:rsidR="00FD16A4" w:rsidRPr="0091483F" w:rsidRDefault="00FD16A4" w:rsidP="00FD16A4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PRILOG</w:t>
      </w:r>
    </w:p>
    <w:p w:rsidR="00FD16A4" w:rsidRPr="0091483F" w:rsidRDefault="00FD16A4" w:rsidP="00FD16A4">
      <w:pPr>
        <w:spacing w:line="336" w:lineRule="atLeast"/>
        <w:jc w:val="center"/>
        <w:rPr>
          <w:rFonts w:ascii="Times New Roman" w:eastAsia="Times New Roman" w:hAnsi="Times New Roman" w:cs="Times New Roman"/>
        </w:rPr>
      </w:pPr>
      <w:r w:rsidRPr="0091483F">
        <w:rPr>
          <w:rFonts w:ascii="Times New Roman" w:eastAsia="Times New Roman" w:hAnsi="Times New Roman" w:cs="Times New Roman"/>
        </w:rPr>
        <w:t>POPIS NEPRIHVATLJIVIH I UVJETNO PRIHVATLJIVIH IZDATAKA TE PRIPADAJUĆIH IZUZETAKA I UVJETA</w:t>
      </w:r>
    </w:p>
    <w:tbl>
      <w:tblPr>
        <w:tblW w:w="4934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"/>
        <w:gridCol w:w="4014"/>
        <w:gridCol w:w="4213"/>
      </w:tblGrid>
      <w:tr w:rsidR="0091483F" w:rsidRPr="0091483F" w:rsidTr="00FD16A4">
        <w:trPr>
          <w:jc w:val="center"/>
        </w:trPr>
        <w:tc>
          <w:tcPr>
            <w:tcW w:w="3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  <w:b/>
                <w:bCs/>
              </w:rPr>
              <w:t>Br.</w:t>
            </w:r>
          </w:p>
        </w:tc>
        <w:tc>
          <w:tcPr>
            <w:tcW w:w="22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  <w:b/>
                <w:bCs/>
              </w:rPr>
              <w:t>Vrsta izdatka</w:t>
            </w:r>
          </w:p>
        </w:tc>
        <w:tc>
          <w:tcPr>
            <w:tcW w:w="2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  <w:b/>
                <w:bCs/>
              </w:rPr>
              <w:t>Fond za koji je izdatak neprihvatljiv ili uvjetno prihvatljiv te izuzetak i/ili uvjet, ako je primjenjivo</w:t>
            </w:r>
          </w:p>
        </w:tc>
      </w:tr>
      <w:tr w:rsidR="0091483F" w:rsidRPr="0091483F" w:rsidTr="00FD16A4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Porez na dodanu vrijednost (PDV)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Neprihvatljivo za EFRR i KF, osim ako PDV nije povrativ</w:t>
            </w:r>
          </w:p>
        </w:tc>
      </w:tr>
      <w:tr w:rsidR="0091483F" w:rsidRPr="0091483F" w:rsidTr="00FD16A4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Kamate na dug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Neprihvatljivo za EFRR i KF, s izuzetkom u odnosu na bespovratna sredstva dana u obliku subvencija kamatne stope ili subvencija naknada za jamstvo</w:t>
            </w:r>
          </w:p>
        </w:tc>
      </w:tr>
      <w:tr w:rsidR="0091483F" w:rsidRPr="0091483F" w:rsidTr="00FD16A4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Stavljanje nuklearnih elektrana izvan pogona ili njihova izgradnja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Neprihvatljivo za EFRR i KF, bez izuzetka i/ili uvjeta</w:t>
            </w:r>
          </w:p>
        </w:tc>
      </w:tr>
      <w:tr w:rsidR="0091483F" w:rsidRPr="0091483F" w:rsidTr="00FD16A4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Ulaganje radi postizanja smanjenja emisija stakleničkih plinova iz aktivnosti koje su navedene u Prilogu I Direktive 2003/87/EZ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Neprihvatljivo za EFRR i KF, bez izuzetka i/ili uvjeta</w:t>
            </w:r>
          </w:p>
        </w:tc>
      </w:tr>
      <w:tr w:rsidR="0091483F" w:rsidRPr="0091483F" w:rsidTr="00FD16A4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Ulaganje u stambeni sektor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Neprihvatljivo za KF, osim ako je ulaganje povezano s promicanjem energetske učinkovitosti ili korištenja energije iz obnovljivih izvora</w:t>
            </w:r>
          </w:p>
        </w:tc>
      </w:tr>
      <w:tr w:rsidR="0091483F" w:rsidRPr="0091483F" w:rsidTr="00FD16A4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Proizvodnja, prerada i plasman na tržište duhana i duhanskih proizvoda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Neprihvatljivo za EFRR i KF, bez izuzetka i/ili uvjeta</w:t>
            </w:r>
          </w:p>
        </w:tc>
      </w:tr>
      <w:tr w:rsidR="0091483F" w:rsidRPr="0091483F" w:rsidTr="00FD16A4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Troškovi poduzeća u poteškoćama, u skladu s pravilima Unije o državnim potporama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Neprihvatljivo za EFRR i KF, bez izuzetka i/ili uvjeta</w:t>
            </w:r>
          </w:p>
        </w:tc>
      </w:tr>
      <w:tr w:rsidR="0091483F" w:rsidRPr="0091483F" w:rsidTr="00FD16A4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Kupnja rabljene opreme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Neprihvatljivo za EFRR i KF, izuzev u slučajevima amortizacije i aktivnostima Prioritetne osi 10 Tehnička pomoć</w:t>
            </w:r>
          </w:p>
        </w:tc>
      </w:tr>
      <w:tr w:rsidR="0091483F" w:rsidRPr="0091483F" w:rsidTr="00FD16A4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Kupnja vozila koja se koriste u svrhu upravljanja operacijom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 xml:space="preserve">Neprihvatljivo za EFRR i KF, izuzev u aktivnostima Prioritetne osi 10 Tehnička pomoć, pri čemu operacija podrazumijeva projekt tehničke pomoći te projekte koje je odabralo Upravljačko tijelo Operativnog </w:t>
            </w:r>
            <w:r w:rsidRPr="0091483F">
              <w:rPr>
                <w:rFonts w:ascii="Times New Roman" w:eastAsia="Times New Roman" w:hAnsi="Times New Roman" w:cs="Times New Roman"/>
              </w:rPr>
              <w:lastRenderedPageBreak/>
              <w:t>programa ili koji su pod njegovom odgovornošću te se iz Prioritetne osi 10 Tehnička pomoć osigurava njihova adekvatna provedba</w:t>
            </w:r>
          </w:p>
        </w:tc>
      </w:tr>
      <w:tr w:rsidR="0091483F" w:rsidRPr="0091483F" w:rsidTr="00FD16A4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lastRenderedPageBreak/>
              <w:t>10.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Doprinosi za dobrovoljna zdravstvena ili mirovinska osiguranja koja nisu obvezna prema nacionalnom zakonodavstvu te neoporezivi primitci radnika, u skladu s propisima Republike Hrvatske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Neprihvatljivo za EFRR, izuzev u aktivnostima Prioritetne osi 10 Tehnička pomoć i to za neoporezive primitke radnika, osim za otpremnine, nagrade i darove, koji su neprihvatljivi</w:t>
            </w:r>
          </w:p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Neprihvatljivo za KF, bez izuzetka i/ili uvjeta</w:t>
            </w:r>
          </w:p>
        </w:tc>
      </w:tr>
      <w:tr w:rsidR="0091483F" w:rsidRPr="0091483F" w:rsidTr="00FD16A4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Bonusi za zaposlene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Neprihvatljivo za EFRR i KF, izuzev u aktivnostima prioritetne osi 10 Tehnička pomoć i to pod uvjetima koji se utvrđuju u pozivu na dodjelu bespovratnih sredstava</w:t>
            </w:r>
          </w:p>
        </w:tc>
      </w:tr>
      <w:tr w:rsidR="0091483F" w:rsidRPr="0091483F" w:rsidTr="00FD16A4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 xml:space="preserve">Kazne, financijske globe, troškovi povezani s </w:t>
            </w:r>
            <w:proofErr w:type="spellStart"/>
            <w:r w:rsidRPr="0091483F">
              <w:rPr>
                <w:rFonts w:ascii="Times New Roman" w:eastAsia="Times New Roman" w:hAnsi="Times New Roman" w:cs="Times New Roman"/>
              </w:rPr>
              <w:t>predstečajem</w:t>
            </w:r>
            <w:proofErr w:type="spellEnd"/>
            <w:r w:rsidRPr="0091483F">
              <w:rPr>
                <w:rFonts w:ascii="Times New Roman" w:eastAsia="Times New Roman" w:hAnsi="Times New Roman" w:cs="Times New Roman"/>
              </w:rPr>
              <w:t>, stečajem i likvidacijom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Neprihvatljivo za EFRR i KF, bez izuzetka i/ili uvjeta</w:t>
            </w:r>
          </w:p>
        </w:tc>
      </w:tr>
      <w:tr w:rsidR="0091483F" w:rsidRPr="0091483F" w:rsidTr="00FD16A4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13.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Troškovi sudskih i izvansudskih sporova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Neprihvatljivo za EFRR i KF, izuzev u aktivnostima prioritetne osi 10 Tehnička pomoć</w:t>
            </w:r>
          </w:p>
        </w:tc>
      </w:tr>
      <w:tr w:rsidR="0091483F" w:rsidRPr="0091483F" w:rsidTr="00FD16A4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14.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Gubici zbog fluktuacija valutnih tečaja i provizija na valutni tečaj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Neprihvatljivo za EFRR i KF, bez izuzetka i/ili uvjeta</w:t>
            </w:r>
          </w:p>
        </w:tc>
      </w:tr>
      <w:tr w:rsidR="0091483F" w:rsidRPr="0091483F" w:rsidTr="00FD16A4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15.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Troškovi za otvaranje, zatvaranje i vođenje računa, naknade za financijske transfere, trošak ishođenja kredita ili pozajmice kod financijske institucije, javnobilježnički trošak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Neprihvatljivo za EFRR i KF, bez izuzetka i/ili uvjeta</w:t>
            </w:r>
          </w:p>
        </w:tc>
      </w:tr>
      <w:tr w:rsidR="0091483F" w:rsidRPr="0091483F" w:rsidTr="00FD16A4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16.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Ulaganje u aerodromsku infrastrukturu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Prihvatljivo za EFRR i KF, pod sljedećim uvjetima:</w:t>
            </w:r>
          </w:p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– za EFRR: izdatak nastaje u okviru operacija koje ispunjavaju zahtjeve iz Uredbe (EU) br. 1301/2013, posebice članka 3. stavka 1. točke c), članka 3. stavka 3. točke e) i članka 5. stavka 7. točke c)</w:t>
            </w:r>
          </w:p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 xml:space="preserve">– za KF: izdatak nastaje u okviru projekata koji ispunjavaju zahtjeve iz Uredbe (EU) br. 1300/2013, posebice članka 2. stavka 2. točke (f) i članka 4. točke d) </w:t>
            </w:r>
            <w:proofErr w:type="spellStart"/>
            <w:r w:rsidRPr="0091483F">
              <w:rPr>
                <w:rFonts w:ascii="Times New Roman" w:eastAsia="Times New Roman" w:hAnsi="Times New Roman" w:cs="Times New Roman"/>
              </w:rPr>
              <w:t>podtočke</w:t>
            </w:r>
            <w:proofErr w:type="spellEnd"/>
            <w:r w:rsidRPr="0091483F">
              <w:rPr>
                <w:rFonts w:ascii="Times New Roman" w:eastAsia="Times New Roman" w:hAnsi="Times New Roman" w:cs="Times New Roman"/>
              </w:rPr>
              <w:t xml:space="preserve"> (ii)</w:t>
            </w:r>
          </w:p>
        </w:tc>
      </w:tr>
      <w:tr w:rsidR="0091483F" w:rsidRPr="0091483F" w:rsidTr="00FD16A4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17.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Doprinosi u naravi u obliku izvršavanja radova ili osiguravanja robe, usluga, zemljišta i nekretnina za koje nije izvršeno plaćanje u gotovini, potkrijepljeno računima ili dokumentima iste dokazne vrijednosti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</w:p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Prihvatljivo za EFRR i KF, pod uvjetima iz članka 69. Uredbe (EU) br. 1303/2013</w:t>
            </w:r>
          </w:p>
        </w:tc>
      </w:tr>
      <w:tr w:rsidR="0091483F" w:rsidRPr="0091483F" w:rsidTr="00FD16A4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lastRenderedPageBreak/>
              <w:t>18.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Troškovi amortizacije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Prihvatljivo za EFRR i KF, ako su kumulativno ispunjeni uvjeti iz članka 69. Uredbe (EU) br. 1303/2013 i sljedeći uvjeti:</w:t>
            </w:r>
          </w:p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– bespovratna sredstva nisu doprinijela stjecanju te imovine</w:t>
            </w:r>
          </w:p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– trajna materijalna imovina izravno se koristi za operaciju</w:t>
            </w:r>
          </w:p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– troškovi amortizacije izračunavaju se u skladu s relevantnim računovodstvenim pravilima</w:t>
            </w:r>
          </w:p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– troškovi amortizacije alociraju se proporcionalno korištenju dugotrajne imovine</w:t>
            </w:r>
          </w:p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– troškovi amortizacije temelje se na izvornom trošku, te ne uključuju dodatne troškove (kao što su trošak dostave i instalacije)</w:t>
            </w:r>
          </w:p>
        </w:tc>
      </w:tr>
      <w:tr w:rsidR="0091483F" w:rsidRPr="0091483F" w:rsidTr="00FD16A4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19.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Kupoprodaja zemljišta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Uvjetno prihvatljivo za EFRR i KF, ako su kumulativno ispunjeni sljedeći uvjeti:</w:t>
            </w:r>
          </w:p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– kupoprodaja neizgrađenog zemljišta i izgrađenog zemljišta ne prelazi 10 % iznosa ukupnih prihvatljivih izdataka za dotičnu operaciju. Za napuštena mjesta i nekadašnja industrijska mjesta koja obuhvaćaju izgrađene objekte ta se granica povećava na 15 %. U iznimnim i propisno opravdanim slučajevima, ta se granica može podići iznad prethodno navedenih postotaka za operacije koje su povezane s očuvanjem okoliša, kako je navedeno u članku 69. stavku 3. točki (b) Uredbe (EU) br. 1303/2013</w:t>
            </w:r>
          </w:p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– kupoprodaja zemljišta izravno je povezana s ciljevima operacije</w:t>
            </w:r>
          </w:p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– prihvatljivi troškovi ne prelaze tržišnu vrijednost što potvrđuje potvrda neovisnog, kvalificiranog i ovlaštenog službenog tijela</w:t>
            </w:r>
          </w:p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– operacija sadržava podatak i dokument iz kojega je razvidan datum kupoprodaje</w:t>
            </w:r>
          </w:p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– na kupljenom zemljištu osigurava se trajnost operacije u skladu sa člankom 71. Uredbe (EU). br. 1303/2013</w:t>
            </w:r>
          </w:p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lastRenderedPageBreak/>
              <w:t>– kupoprodaja i/ili gradnja, razvoj i rekonstrukcija nisu prethodno financirani sredstvima Europske unije i/ili nacionalnim sredstvima (u potonjem slučaju se to ne odnosi na situacije u kojima se ta sredstva nadoknađuju iz EFRR-a ili KF-a)</w:t>
            </w:r>
          </w:p>
        </w:tc>
      </w:tr>
      <w:tr w:rsidR="0091483F" w:rsidRPr="0091483F" w:rsidTr="00FD16A4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lastRenderedPageBreak/>
              <w:t>20.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Leasing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Prihvatljivo za EFRR i KF, samo ako je tako utvrđeno u pozivu na dodjelu bespovratnih sredstava, pri čemu se primjenjuju minimalno sljedeći uvjeti:</w:t>
            </w:r>
          </w:p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– prihvatljivi troškovi ne prelaze tržišnu vrijednost objekta leasinga</w:t>
            </w:r>
          </w:p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– neprihvatljivi su povezani troškovi (troškovi poreza, početni izravni troškovi nabave (transporta, raznih naknada, troškovi koji nastanu tijekom pregovaranja i osiguranja ugovora o leasingu i sl.))</w:t>
            </w:r>
          </w:p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– neprihvatljivi su troškovi amortizacije i troškovi kamata</w:t>
            </w:r>
          </w:p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– prihvatljivi su troškovi koji nastanu u skladu s ugovorom o leasingu, ako su nastali za vrijeme razdoblja provedbe operacije</w:t>
            </w:r>
          </w:p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– ugovor o leasingu ne može biti sklopljen na razdoblje dulje od krajnjeg datuma prihvatljivosti izdataka (31. prosinca 2023.), pri čemu se podrazumijeva da je do navedenog datuma primatelj financijskog leasinga i postao vlasnikom objekta leasinga (podrazumijeva ostvarivanje indikatora), u protivnom bespovratna sredstva su podložna povratu</w:t>
            </w:r>
          </w:p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– mora se dokazati da je leasing bio najisplativija metoda za nabavu i uporabu stvari u okviru operacije koji se sufinancira bespovratnim sredstvima, uzimajući u obzir da je krajnji datum razdoblja prihvatljivosti izdataka 31. prosinca 2023., u kojem razdoblju ugovor o leasingu može biti na snazi</w:t>
            </w:r>
          </w:p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 xml:space="preserve">– mora se dokazati održivost i svrhu uporabe objekta leasinga nakon provedbe operacije (u </w:t>
            </w:r>
            <w:r w:rsidRPr="0091483F">
              <w:rPr>
                <w:rFonts w:ascii="Times New Roman" w:eastAsia="Times New Roman" w:hAnsi="Times New Roman" w:cs="Times New Roman"/>
              </w:rPr>
              <w:lastRenderedPageBreak/>
              <w:t>skladu s člankom 71. Uredbe (EU) br. 1303/2013)</w:t>
            </w:r>
          </w:p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– neprihvatljiv je trošak nabave financijskog leasinga</w:t>
            </w:r>
          </w:p>
        </w:tc>
      </w:tr>
      <w:tr w:rsidR="0091483F" w:rsidRPr="0091483F" w:rsidTr="00FD16A4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lastRenderedPageBreak/>
              <w:t>21.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Izdatak izračunat primjenom standardne veličine jediničnih troškova, ili primjenom fiksnih stopa, ili primjenom fiksnih iznosa, ili financiranje koje nije povezano s troškovima relevantnih operacija nego se temelji na ispunjenju uvjeta povezanih s postizanjem napretka u provedbi ili ostvarenju ciljeva programa kako je navedeno u članku 67. stavku 1. točki e) Uredbe (EU) b. 1303/2013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Prihvatljivo za EFRR i KF, ako su kumulativno ispunjeni sljedeći uvjeti:</w:t>
            </w:r>
          </w:p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– usklađenost s uvjetima iz članka 67. stavka 5. i 5a. Uredbe (EU) br. 1303/2013</w:t>
            </w:r>
          </w:p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– osim u slučaju kada Uredba (EU) br. 1303/2013 utvrđuje da država članica ne obavlja izračun, izračun se temelji na metodi određenoj u pozivu na dodjelu bespovratnih sredstava</w:t>
            </w:r>
          </w:p>
        </w:tc>
      </w:tr>
      <w:tr w:rsidR="0091483F" w:rsidRPr="0091483F" w:rsidTr="00FD16A4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22.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Neizravni troškovi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Prihvatljivo za EFRR i KF, u skladu s člancima 67. i 68. Uredbe (EU) br. 1303/2013, te uvjetima poziva na dodjelu bespovratnih sredstava, pri čemu</w:t>
            </w:r>
          </w:p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– se izračunavaju primjenom standardne veličine jediničnih troškova ili primjenom fiksnih iznosa (u skladu s člankom 67. Uredbe (EU) br. 1303/2013) ili</w:t>
            </w:r>
          </w:p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– se izračunavaju primjenom fiksne stope (u skladu s člankom 68. Uredbe (EU) br. 1303/2013) ili</w:t>
            </w:r>
          </w:p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– se temelje na stvarnim troškovima iz članka 67. stavka 1. točke a. Uredbe (EU) br. 1303/2013</w:t>
            </w:r>
          </w:p>
        </w:tc>
      </w:tr>
      <w:tr w:rsidR="0091483F" w:rsidRPr="0091483F" w:rsidTr="00FD16A4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23.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Troškovi osoblja u vezi s bespovratnim sredstvima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Prihvatljivo za EFRR i KF, u skladu s člankom 67. i 68.a Uredbe (EU) br. 1303/2013, te uvjetima poziva na dodjelu bespovratnih sredstava, pri čemu</w:t>
            </w:r>
          </w:p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– se izračunavaju primjenom standardne veličine jediničnih troškova ili primjenom fiksnih iznosa (u skladu s člankom 67. Uredbe (EU) br. 1303/2013) ili</w:t>
            </w:r>
          </w:p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 xml:space="preserve">– se utvrđuju izračunom satnice dijeljenjem zadnjeg dokumentiranog godišnjeg bruto iznosa troškova za zaposlenike s 1720 sati za osobe koje rade u punom radom vremenu ili odgovarajućim razmjernim brojem sati od </w:t>
            </w:r>
            <w:r w:rsidRPr="0091483F">
              <w:rPr>
                <w:rFonts w:ascii="Times New Roman" w:eastAsia="Times New Roman" w:hAnsi="Times New Roman" w:cs="Times New Roman"/>
              </w:rPr>
              <w:lastRenderedPageBreak/>
              <w:t>1720 za osobe koje rade u nepunom radnom vremenu, sve u skladu s člankom 68.a Uredbe (EU) br. 1303/2013 ili</w:t>
            </w:r>
          </w:p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– su izračunati po fiksnoj stopi od najviše 20% ostalih izravnih troškova koji nisu troškovi osoblja te operacije, sve u skladu s člankom 68.a Uredbe (EU) br. 1303/2013 ili</w:t>
            </w:r>
          </w:p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– se temelje na stvarnim troškovima iz članka 67. stavka 1. točke a. Uredbe (EU) br. 1303/2013</w:t>
            </w:r>
          </w:p>
        </w:tc>
      </w:tr>
      <w:tr w:rsidR="0091483F" w:rsidRPr="0091483F" w:rsidTr="00FD16A4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lastRenderedPageBreak/>
              <w:t>24.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Izdaci povezani s računovodstvenim uslugama i uslugama revizije u okviru operacije, koju nabavlja korisnik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Neprihvatljivo EFRR i KF, osim ako to zahtijeva nadležno tijelo u okviru poziva na dodjelu bespovratnih sredstava.</w:t>
            </w:r>
          </w:p>
        </w:tc>
      </w:tr>
      <w:tr w:rsidR="0091483F" w:rsidRPr="0091483F" w:rsidTr="00FD16A4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25.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Izdatak jamstva koje izdaje banka ili druga financijska institucija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Neprihvatljivo EFRR i KF, osim ako nacionalno zakonodavstvo ili zakonodavstvo Unije zahtijeva jamstvo</w:t>
            </w:r>
          </w:p>
        </w:tc>
      </w:tr>
      <w:tr w:rsidR="0091483F" w:rsidRPr="0091483F" w:rsidTr="00FD16A4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26.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Izdatci operacije koje ostvaruju neto prihode za vrijeme provedbe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Prihvatljivo za EFRR i KF, pod uvjetima iz članka 65. Uredbe (EU) br. 1303/2013 i u skladu s uvjetima koje utvrđuje Upravljačko tijelo</w:t>
            </w:r>
          </w:p>
        </w:tc>
      </w:tr>
      <w:tr w:rsidR="0091483F" w:rsidRPr="0091483F" w:rsidTr="00FD16A4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27.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Izdatci operacije kojima se ostvaruju neto prihodi nakon njihova dovršetka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Prihvatljivo za EFRR i KF, pod uvjetima koje utvrđuje Upravljačko tijelo u skladu s člankom 61. Uredbe (EU) br. 1303/2013</w:t>
            </w:r>
          </w:p>
        </w:tc>
      </w:tr>
      <w:tr w:rsidR="0091483F" w:rsidRPr="0091483F" w:rsidTr="00FD16A4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28.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Potpora lokalnom razvoju pod vodstvom zajednice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Neprihvatljivo za KF, bez izuzetka i/ili uvjeta</w:t>
            </w:r>
          </w:p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Prihvatljivo za EFRR pod uvjetima koje na temelju članka 35. Uredbe (EU) br. 1303/2013 utvrđuje Upravljačko tijelo</w:t>
            </w:r>
          </w:p>
        </w:tc>
      </w:tr>
      <w:tr w:rsidR="00FD16A4" w:rsidRPr="0091483F" w:rsidTr="00FD16A4">
        <w:trPr>
          <w:jc w:val="center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29.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Izdatak koji ispunjava uvjete za potporu iz ESF-a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Neprihvatljivo za KF, bez izuzetka i/ili uvjeta</w:t>
            </w:r>
          </w:p>
          <w:p w:rsidR="00FD16A4" w:rsidRPr="0091483F" w:rsidRDefault="00FD16A4" w:rsidP="00FD16A4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91483F">
              <w:rPr>
                <w:rFonts w:ascii="Times New Roman" w:eastAsia="Times New Roman" w:hAnsi="Times New Roman" w:cs="Times New Roman"/>
              </w:rPr>
              <w:t>Prihvatljivo za EFRR pod uvjetom da su izdatci prihvatljivi za potporu ESF-a na temelju pravila koja se primjenjuju na taj fond, pod uvjetom da su nužni za zadovoljavajuću provedbu operacije te da su s njom izravno povezani</w:t>
            </w:r>
          </w:p>
        </w:tc>
      </w:tr>
    </w:tbl>
    <w:p w:rsidR="00FD16A4" w:rsidRPr="0091483F" w:rsidRDefault="00FD16A4" w:rsidP="00FD16A4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</w:p>
    <w:p w:rsidR="00FD16A4" w:rsidRPr="0091483F" w:rsidRDefault="00FD16A4" w:rsidP="00FD16A4">
      <w:pPr>
        <w:spacing w:line="336" w:lineRule="atLeast"/>
        <w:jc w:val="center"/>
        <w:rPr>
          <w:rFonts w:ascii="Times New Roman" w:eastAsia="Times New Roman" w:hAnsi="Times New Roman" w:cs="Times New Roman"/>
        </w:rPr>
      </w:pPr>
    </w:p>
    <w:p w:rsidR="00F75D57" w:rsidRPr="0091483F" w:rsidRDefault="00F75D57">
      <w:pPr>
        <w:rPr>
          <w:rFonts w:ascii="Times New Roman" w:hAnsi="Times New Roman" w:cs="Times New Roman"/>
        </w:rPr>
      </w:pPr>
    </w:p>
    <w:sectPr w:rsidR="00F75D57" w:rsidRPr="0091483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6A4"/>
    <w:rsid w:val="0008185F"/>
    <w:rsid w:val="000E7D61"/>
    <w:rsid w:val="003C72D4"/>
    <w:rsid w:val="007C212A"/>
    <w:rsid w:val="0091483F"/>
    <w:rsid w:val="00B800F5"/>
    <w:rsid w:val="00BF3B61"/>
    <w:rsid w:val="00C75CE1"/>
    <w:rsid w:val="00CD1CC0"/>
    <w:rsid w:val="00D35FB6"/>
    <w:rsid w:val="00F75D57"/>
    <w:rsid w:val="00FD16A4"/>
    <w:rsid w:val="00FE3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6DBDB"/>
  <w15:chartTrackingRefBased/>
  <w15:docId w15:val="{556DF4BE-DE37-4D82-8917-C5D742E57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145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60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06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27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92398">
                      <w:marLeft w:val="0"/>
                      <w:marRight w:val="0"/>
                      <w:marTop w:val="4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145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175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59330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473732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982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3785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3940</Words>
  <Characters>22461</Characters>
  <Application>Microsoft Office Word</Application>
  <DocSecurity>0</DocSecurity>
  <Lines>187</Lines>
  <Paragraphs>52</Paragraphs>
  <ScaleCrop>false</ScaleCrop>
  <Company/>
  <LinksUpToDate>false</LinksUpToDate>
  <CharactersWithSpaces>26349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Mirna Minauf</dc:creator>
  <cp:keywords/>
  <dc:description/>
  <cp:lastModifiedBy>Mirna Minauf</cp:lastModifiedBy>
  <cp:revision>3</cp:revision>
  <dcterms:created xsi:type="dcterms:W3CDTF">2020-01-23T11:46:00Z</dcterms:created>
  <dcterms:modified xsi:type="dcterms:W3CDTF">2020-02-17T07:53:00Z</dcterms:modified>
</cp:coreProperties>
</file>