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97CA5D" w14:textId="77777777" w:rsidR="000C23D7" w:rsidRPr="00441E95" w:rsidRDefault="00B61BEC" w:rsidP="006A39DF">
      <w:pPr>
        <w:pStyle w:val="Heading1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spacing w:before="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bookmarkStart w:id="0" w:name="_Toc3300630"/>
      <w:bookmarkStart w:id="1" w:name="_Toc3300669"/>
      <w:bookmarkStart w:id="2" w:name="_Toc447899773"/>
      <w:r w:rsidRPr="00441E95">
        <w:rPr>
          <w:rFonts w:ascii="Times New Roman" w:hAnsi="Times New Roman" w:cs="Times New Roman"/>
          <w:noProof w:val="0"/>
          <w:sz w:val="24"/>
          <w:szCs w:val="24"/>
        </w:rPr>
        <w:t>SADRŽAJ</w:t>
      </w:r>
      <w:bookmarkEnd w:id="0"/>
      <w:bookmarkEnd w:id="1"/>
    </w:p>
    <w:p w14:paraId="4B3B2900" w14:textId="77777777" w:rsidR="00650C0F" w:rsidRPr="00441E95" w:rsidRDefault="00650C0F" w:rsidP="001A2AFF">
      <w:pPr>
        <w:tabs>
          <w:tab w:val="clear" w:pos="2160"/>
        </w:tabs>
        <w:spacing w:before="0"/>
        <w:ind w:left="0" w:firstLine="0"/>
        <w:rPr>
          <w:noProof w:val="0"/>
        </w:rPr>
      </w:pPr>
    </w:p>
    <w:sdt>
      <w:sdtPr>
        <w:rPr>
          <w:rFonts w:ascii="Arial" w:eastAsia="Times New Roman" w:hAnsi="Arial" w:cs="Times New Roman"/>
          <w:noProof w:val="0"/>
          <w:color w:val="auto"/>
          <w:sz w:val="20"/>
          <w:szCs w:val="24"/>
        </w:rPr>
        <w:id w:val="2120637054"/>
        <w:docPartObj>
          <w:docPartGallery w:val="Table of Contents"/>
          <w:docPartUnique/>
        </w:docPartObj>
      </w:sdtPr>
      <w:sdtEndPr>
        <w:rPr>
          <w:rFonts w:ascii="Times New Roman" w:hAnsi="Times New Roman"/>
          <w:b/>
          <w:bCs/>
          <w:sz w:val="24"/>
        </w:rPr>
      </w:sdtEndPr>
      <w:sdtContent>
        <w:p w14:paraId="4E709214" w14:textId="063AC309" w:rsidR="00EE3D14" w:rsidRPr="00441E95" w:rsidRDefault="00EE3D14">
          <w:pPr>
            <w:pStyle w:val="TOCHeading"/>
            <w:rPr>
              <w:noProof w:val="0"/>
            </w:rPr>
          </w:pPr>
        </w:p>
        <w:p w14:paraId="552C0250" w14:textId="5F6722EB" w:rsidR="00EE3D14" w:rsidRPr="00441E95" w:rsidRDefault="00EE3D14">
          <w:pPr>
            <w:pStyle w:val="TOC1"/>
            <w:rPr>
              <w:rFonts w:ascii="Times New Roman" w:eastAsiaTheme="minorEastAsia" w:hAnsi="Times New Roman"/>
              <w:sz w:val="24"/>
              <w:lang w:eastAsia="hr-HR"/>
            </w:rPr>
          </w:pPr>
          <w:r w:rsidRPr="00441E95">
            <w:rPr>
              <w:rFonts w:ascii="Times New Roman" w:hAnsi="Times New Roman"/>
              <w:b/>
              <w:bCs/>
              <w:noProof w:val="0"/>
              <w:sz w:val="24"/>
            </w:rPr>
            <w:fldChar w:fldCharType="begin"/>
          </w:r>
          <w:r w:rsidRPr="00441E95">
            <w:rPr>
              <w:rFonts w:ascii="Times New Roman" w:hAnsi="Times New Roman"/>
              <w:b/>
              <w:bCs/>
              <w:noProof w:val="0"/>
              <w:sz w:val="24"/>
            </w:rPr>
            <w:instrText xml:space="preserve"> TOC \o "1-3" \h \z \u </w:instrText>
          </w:r>
          <w:r w:rsidRPr="00441E95">
            <w:rPr>
              <w:rFonts w:ascii="Times New Roman" w:hAnsi="Times New Roman"/>
              <w:b/>
              <w:bCs/>
              <w:noProof w:val="0"/>
              <w:sz w:val="24"/>
            </w:rPr>
            <w:fldChar w:fldCharType="separate"/>
          </w:r>
          <w:hyperlink w:anchor="_Toc3300669" w:history="1">
            <w:r w:rsidRPr="00441E95">
              <w:rPr>
                <w:rFonts w:ascii="Times New Roman" w:hAnsi="Times New Roman"/>
                <w:webHidden/>
                <w:sz w:val="24"/>
              </w:rPr>
              <w:tab/>
              <w:t xml:space="preserve">                                                                                                            </w:t>
            </w:r>
          </w:hyperlink>
        </w:p>
        <w:p w14:paraId="14619B8B" w14:textId="121B641F" w:rsidR="00EE3D14" w:rsidRPr="00441E95" w:rsidRDefault="000E1F84">
          <w:pPr>
            <w:pStyle w:val="TOC1"/>
            <w:rPr>
              <w:rFonts w:ascii="Times New Roman" w:eastAsiaTheme="minorEastAsia" w:hAnsi="Times New Roman"/>
              <w:sz w:val="24"/>
              <w:lang w:eastAsia="hr-HR"/>
            </w:rPr>
          </w:pPr>
          <w:hyperlink w:anchor="_Toc3300670" w:history="1">
            <w:r w:rsidR="00EE3D14" w:rsidRPr="00441E95">
              <w:rPr>
                <w:rStyle w:val="Hyperlink"/>
                <w:rFonts w:ascii="Times New Roman" w:hAnsi="Times New Roman"/>
                <w:sz w:val="24"/>
              </w:rPr>
              <w:t>1. SVRHA…………………………………</w: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tab/>
              <w:t>…………………………………………………</w:t>
            </w:r>
            <w:r w:rsidR="00D77E36" w:rsidRPr="00441E95">
              <w:rPr>
                <w:rFonts w:ascii="Times New Roman" w:hAnsi="Times New Roman"/>
                <w:webHidden/>
                <w:sz w:val="24"/>
              </w:rPr>
              <w:t>.</w: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fldChar w:fldCharType="begin"/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instrText xml:space="preserve"> PAGEREF _Toc3300670 \h </w:instrTex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fldChar w:fldCharType="separate"/>
            </w:r>
            <w:r w:rsidR="009A56FA">
              <w:rPr>
                <w:rFonts w:ascii="Times New Roman" w:hAnsi="Times New Roman"/>
                <w:webHidden/>
                <w:sz w:val="24"/>
              </w:rPr>
              <w:t>2</w: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fldChar w:fldCharType="end"/>
            </w:r>
          </w:hyperlink>
        </w:p>
        <w:p w14:paraId="7F98ED39" w14:textId="1231856F" w:rsidR="00EE3D14" w:rsidRPr="00441E95" w:rsidRDefault="000E1F84">
          <w:pPr>
            <w:pStyle w:val="TOC1"/>
            <w:rPr>
              <w:rFonts w:ascii="Times New Roman" w:eastAsiaTheme="minorEastAsia" w:hAnsi="Times New Roman"/>
              <w:sz w:val="24"/>
              <w:lang w:eastAsia="hr-HR"/>
            </w:rPr>
          </w:pPr>
          <w:hyperlink w:anchor="_Toc3300671" w:history="1">
            <w:r w:rsidR="00EE3D14" w:rsidRPr="00441E95">
              <w:rPr>
                <w:rStyle w:val="Hyperlink"/>
                <w:rFonts w:ascii="Times New Roman" w:hAnsi="Times New Roman"/>
                <w:sz w:val="24"/>
              </w:rPr>
              <w:t>2. OPSEG</w: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t>.…………………………………………………………………………</w:t>
            </w:r>
            <w:r w:rsidR="005A579F" w:rsidRPr="00441E95">
              <w:rPr>
                <w:rFonts w:ascii="Times New Roman" w:hAnsi="Times New Roman"/>
                <w:webHidden/>
                <w:sz w:val="24"/>
              </w:rPr>
              <w:tab/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t>…………</w: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fldChar w:fldCharType="begin"/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instrText xml:space="preserve"> PAGEREF _Toc3300671 \h </w:instrTex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fldChar w:fldCharType="separate"/>
            </w:r>
            <w:r w:rsidR="009A56FA">
              <w:rPr>
                <w:rFonts w:ascii="Times New Roman" w:hAnsi="Times New Roman"/>
                <w:webHidden/>
                <w:sz w:val="24"/>
              </w:rPr>
              <w:t>3</w: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fldChar w:fldCharType="end"/>
            </w:r>
          </w:hyperlink>
        </w:p>
        <w:p w14:paraId="28D199B9" w14:textId="66386D77" w:rsidR="00EE3D14" w:rsidRPr="00441E95" w:rsidRDefault="000E1F84">
          <w:pPr>
            <w:pStyle w:val="TOC1"/>
            <w:rPr>
              <w:rFonts w:ascii="Times New Roman" w:eastAsiaTheme="minorEastAsia" w:hAnsi="Times New Roman"/>
              <w:sz w:val="24"/>
              <w:lang w:eastAsia="hr-HR"/>
            </w:rPr>
          </w:pPr>
          <w:hyperlink w:anchor="_Toc3300672" w:history="1">
            <w:r w:rsidR="00EE3D14" w:rsidRPr="00441E95">
              <w:rPr>
                <w:rStyle w:val="Hyperlink"/>
                <w:rFonts w:ascii="Times New Roman" w:hAnsi="Times New Roman"/>
                <w:sz w:val="24"/>
              </w:rPr>
              <w:t>3. PRAVNA ZAŠTITA I ZAJEDNIČKI OKVIRI</w: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tab/>
            </w:r>
            <w:r w:rsidR="007A6A30" w:rsidRPr="00441E95">
              <w:rPr>
                <w:rFonts w:ascii="Times New Roman" w:hAnsi="Times New Roman"/>
                <w:webHidden/>
                <w:sz w:val="24"/>
              </w:rPr>
              <w:t>…</w:t>
            </w:r>
            <w:r w:rsidR="00D77E36" w:rsidRPr="00441E95">
              <w:rPr>
                <w:rFonts w:ascii="Times New Roman" w:hAnsi="Times New Roman"/>
                <w:webHidden/>
                <w:sz w:val="24"/>
              </w:rPr>
              <w:t>….</w: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fldChar w:fldCharType="begin"/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instrText xml:space="preserve"> PAGEREF _Toc3300672 \h </w:instrTex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fldChar w:fldCharType="separate"/>
            </w:r>
            <w:r w:rsidR="009A56FA">
              <w:rPr>
                <w:rFonts w:ascii="Times New Roman" w:hAnsi="Times New Roman"/>
                <w:webHidden/>
                <w:sz w:val="24"/>
              </w:rPr>
              <w:t>3</w: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fldChar w:fldCharType="end"/>
            </w:r>
          </w:hyperlink>
        </w:p>
        <w:p w14:paraId="0C0304FC" w14:textId="440F0884" w:rsidR="00EE3D14" w:rsidRPr="00441E95" w:rsidRDefault="000E1F84">
          <w:pPr>
            <w:pStyle w:val="TOC1"/>
            <w:rPr>
              <w:rFonts w:ascii="Times New Roman" w:eastAsiaTheme="minorEastAsia" w:hAnsi="Times New Roman"/>
              <w:sz w:val="24"/>
              <w:lang w:eastAsia="hr-HR"/>
            </w:rPr>
          </w:pPr>
          <w:hyperlink w:anchor="_Toc3300673" w:history="1">
            <w:r w:rsidR="00EE3D14" w:rsidRPr="00441E95">
              <w:rPr>
                <w:rStyle w:val="Hyperlink"/>
                <w:rFonts w:ascii="Times New Roman" w:hAnsi="Times New Roman"/>
                <w:sz w:val="24"/>
              </w:rPr>
              <w:t>4. DEFINICIJE I KRATICE</w: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tab/>
            </w:r>
            <w:r w:rsidR="007A6A30" w:rsidRPr="00441E95">
              <w:rPr>
                <w:rFonts w:ascii="Times New Roman" w:hAnsi="Times New Roman"/>
                <w:webHidden/>
                <w:sz w:val="24"/>
              </w:rPr>
              <w:t>…</w:t>
            </w:r>
            <w:r w:rsidR="00D77E36" w:rsidRPr="00441E95">
              <w:rPr>
                <w:rFonts w:ascii="Times New Roman" w:hAnsi="Times New Roman"/>
                <w:webHidden/>
                <w:sz w:val="24"/>
              </w:rPr>
              <w:t>…</w: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fldChar w:fldCharType="begin"/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instrText xml:space="preserve"> PAGEREF _Toc3300673 \h </w:instrTex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fldChar w:fldCharType="separate"/>
            </w:r>
            <w:r w:rsidR="009A56FA">
              <w:rPr>
                <w:rFonts w:ascii="Times New Roman" w:hAnsi="Times New Roman"/>
                <w:webHidden/>
                <w:sz w:val="24"/>
              </w:rPr>
              <w:t>7</w: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fldChar w:fldCharType="end"/>
            </w:r>
          </w:hyperlink>
        </w:p>
        <w:p w14:paraId="6AE2E28E" w14:textId="50952BEA" w:rsidR="00EE3D14" w:rsidRPr="00441E95" w:rsidRDefault="000E1F84">
          <w:pPr>
            <w:pStyle w:val="TOC1"/>
            <w:rPr>
              <w:rFonts w:ascii="Times New Roman" w:eastAsiaTheme="minorEastAsia" w:hAnsi="Times New Roman"/>
              <w:sz w:val="24"/>
              <w:lang w:eastAsia="hr-HR"/>
            </w:rPr>
          </w:pPr>
          <w:hyperlink w:anchor="_Toc3300674" w:history="1">
            <w:r w:rsidR="00EE3D14" w:rsidRPr="00441E95">
              <w:rPr>
                <w:rStyle w:val="Hyperlink"/>
                <w:rFonts w:ascii="Times New Roman" w:hAnsi="Times New Roman"/>
                <w:sz w:val="24"/>
              </w:rPr>
              <w:t>4.1 Definicije</w: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t>……………………………………………</w:t>
            </w:r>
            <w:r w:rsidR="005A579F" w:rsidRPr="00441E95">
              <w:rPr>
                <w:rFonts w:ascii="Times New Roman" w:hAnsi="Times New Roman"/>
                <w:webHidden/>
                <w:sz w:val="24"/>
              </w:rPr>
              <w:tab/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t>……………………………………</w: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fldChar w:fldCharType="begin"/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instrText xml:space="preserve"> PAGEREF _Toc3300674 \h </w:instrTex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fldChar w:fldCharType="separate"/>
            </w:r>
            <w:r w:rsidR="009A56FA">
              <w:rPr>
                <w:rFonts w:ascii="Times New Roman" w:hAnsi="Times New Roman"/>
                <w:webHidden/>
                <w:sz w:val="24"/>
              </w:rPr>
              <w:t>7</w: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fldChar w:fldCharType="end"/>
            </w:r>
          </w:hyperlink>
        </w:p>
        <w:p w14:paraId="1D1A4578" w14:textId="14E407D9" w:rsidR="00EE3D14" w:rsidRPr="00441E95" w:rsidRDefault="000E1F84">
          <w:pPr>
            <w:pStyle w:val="TOC1"/>
            <w:rPr>
              <w:rFonts w:ascii="Times New Roman" w:eastAsiaTheme="minorEastAsia" w:hAnsi="Times New Roman"/>
              <w:sz w:val="24"/>
              <w:lang w:eastAsia="hr-HR"/>
            </w:rPr>
          </w:pPr>
          <w:hyperlink w:anchor="_Toc3300675" w:history="1">
            <w:r w:rsidR="00EE3D14" w:rsidRPr="00441E95">
              <w:rPr>
                <w:rStyle w:val="Hyperlink"/>
                <w:rFonts w:ascii="Times New Roman" w:hAnsi="Times New Roman"/>
                <w:sz w:val="24"/>
              </w:rPr>
              <w:t>4.2 Kratice</w:t>
            </w:r>
            <w:r w:rsidR="007A6A30" w:rsidRPr="00441E95">
              <w:rPr>
                <w:rFonts w:ascii="Times New Roman" w:hAnsi="Times New Roman"/>
                <w:webHidden/>
                <w:sz w:val="24"/>
              </w:rPr>
              <w:t>……………………</w: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t>……………………………</w:t>
            </w:r>
            <w:r w:rsidR="005A579F" w:rsidRPr="00441E95">
              <w:rPr>
                <w:rFonts w:ascii="Times New Roman" w:hAnsi="Times New Roman"/>
                <w:webHidden/>
                <w:sz w:val="24"/>
              </w:rPr>
              <w:tab/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t>………………………………</w:t>
            </w:r>
            <w:r w:rsidR="00D77E36" w:rsidRPr="00441E95">
              <w:rPr>
                <w:rFonts w:ascii="Times New Roman" w:hAnsi="Times New Roman"/>
                <w:webHidden/>
                <w:sz w:val="24"/>
              </w:rPr>
              <w:t>…</w: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fldChar w:fldCharType="begin"/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instrText xml:space="preserve"> PAGEREF _Toc3300675 \h </w:instrTex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fldChar w:fldCharType="separate"/>
            </w:r>
            <w:r w:rsidR="009A56FA">
              <w:rPr>
                <w:rFonts w:ascii="Times New Roman" w:hAnsi="Times New Roman"/>
                <w:webHidden/>
                <w:sz w:val="24"/>
              </w:rPr>
              <w:t>12</w: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fldChar w:fldCharType="end"/>
            </w:r>
          </w:hyperlink>
        </w:p>
        <w:p w14:paraId="13E7C505" w14:textId="2DD613A9" w:rsidR="00EE3D14" w:rsidRPr="00441E95" w:rsidRDefault="000E1F84">
          <w:pPr>
            <w:pStyle w:val="TOC1"/>
            <w:rPr>
              <w:rFonts w:ascii="Times New Roman" w:eastAsiaTheme="minorEastAsia" w:hAnsi="Times New Roman"/>
              <w:sz w:val="24"/>
              <w:lang w:eastAsia="hr-HR"/>
            </w:rPr>
          </w:pPr>
          <w:hyperlink w:anchor="_Toc3300676" w:history="1">
            <w:r w:rsidR="00EE3D14" w:rsidRPr="00441E95">
              <w:rPr>
                <w:rStyle w:val="Hyperlink"/>
                <w:rFonts w:ascii="Times New Roman" w:hAnsi="Times New Roman"/>
                <w:sz w:val="24"/>
              </w:rPr>
              <w:t>5. POPIS PRILOGA</w:t>
            </w:r>
            <w:r w:rsidR="007A6A30" w:rsidRPr="00441E95">
              <w:rPr>
                <w:rFonts w:ascii="Times New Roman" w:hAnsi="Times New Roman"/>
                <w:webHidden/>
                <w:sz w:val="24"/>
              </w:rPr>
              <w:t>……..</w: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t>……………………………………</w:t>
            </w:r>
            <w:r w:rsidR="005A579F" w:rsidRPr="00441E95">
              <w:rPr>
                <w:rFonts w:ascii="Times New Roman" w:hAnsi="Times New Roman"/>
                <w:webHidden/>
                <w:sz w:val="24"/>
              </w:rPr>
              <w:tab/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t>……………………………</w:t>
            </w:r>
            <w:r w:rsidR="00D77E36" w:rsidRPr="00441E95">
              <w:rPr>
                <w:rFonts w:ascii="Times New Roman" w:hAnsi="Times New Roman"/>
                <w:webHidden/>
                <w:sz w:val="24"/>
              </w:rPr>
              <w:t>..</w: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fldChar w:fldCharType="begin"/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instrText xml:space="preserve"> PAGEREF _Toc3300676 \h </w:instrTex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fldChar w:fldCharType="separate"/>
            </w:r>
            <w:r w:rsidR="009A56FA">
              <w:rPr>
                <w:rFonts w:ascii="Times New Roman" w:hAnsi="Times New Roman"/>
                <w:webHidden/>
                <w:sz w:val="24"/>
              </w:rPr>
              <w:t>13</w: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fldChar w:fldCharType="end"/>
            </w:r>
          </w:hyperlink>
        </w:p>
        <w:p w14:paraId="3D7DFBAD" w14:textId="56E6A8AD" w:rsidR="00EE3D14" w:rsidRPr="00441E95" w:rsidRDefault="000E1F84">
          <w:pPr>
            <w:pStyle w:val="TOC1"/>
            <w:rPr>
              <w:rFonts w:ascii="Times New Roman" w:eastAsiaTheme="minorEastAsia" w:hAnsi="Times New Roman"/>
              <w:sz w:val="24"/>
              <w:lang w:eastAsia="hr-HR"/>
            </w:rPr>
          </w:pPr>
          <w:hyperlink w:anchor="_Toc3300677" w:history="1">
            <w:r w:rsidR="00EE3D14" w:rsidRPr="00441E95">
              <w:rPr>
                <w:rStyle w:val="Hyperlink"/>
                <w:rFonts w:ascii="Times New Roman" w:hAnsi="Times New Roman"/>
                <w:sz w:val="24"/>
              </w:rPr>
              <w:t>6. ODGOVORNOSTI I REVIZIJSKI TRAG</w: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tab/>
            </w:r>
            <w:r w:rsidR="00D77E36" w:rsidRPr="00441E95">
              <w:rPr>
                <w:rFonts w:ascii="Times New Roman" w:hAnsi="Times New Roman"/>
                <w:webHidden/>
                <w:sz w:val="24"/>
              </w:rPr>
              <w:t>…..</w: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fldChar w:fldCharType="begin"/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instrText xml:space="preserve"> PAGEREF _Toc3300677 \h </w:instrTex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fldChar w:fldCharType="separate"/>
            </w:r>
            <w:r w:rsidR="009A56FA">
              <w:rPr>
                <w:rFonts w:ascii="Times New Roman" w:hAnsi="Times New Roman"/>
                <w:webHidden/>
                <w:sz w:val="24"/>
              </w:rPr>
              <w:t>14</w: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fldChar w:fldCharType="end"/>
            </w:r>
          </w:hyperlink>
        </w:p>
        <w:p w14:paraId="252CF1CB" w14:textId="1A3E1F85" w:rsidR="00EE3D14" w:rsidRPr="00441E95" w:rsidRDefault="000E1F84">
          <w:pPr>
            <w:pStyle w:val="TOC1"/>
            <w:rPr>
              <w:rFonts w:ascii="Times New Roman" w:eastAsiaTheme="minorEastAsia" w:hAnsi="Times New Roman"/>
              <w:sz w:val="24"/>
              <w:lang w:eastAsia="hr-HR"/>
            </w:rPr>
          </w:pPr>
          <w:hyperlink w:anchor="_Toc3300678" w:history="1">
            <w:r w:rsidR="00EE3D14" w:rsidRPr="00441E95">
              <w:rPr>
                <w:rStyle w:val="Hyperlink"/>
                <w:rFonts w:ascii="Times New Roman" w:hAnsi="Times New Roman"/>
                <w:sz w:val="24"/>
              </w:rPr>
              <w:t>7. PROCEDURE</w:t>
            </w:r>
            <w:r w:rsidR="007A6A30" w:rsidRPr="00441E95">
              <w:rPr>
                <w:rFonts w:ascii="Times New Roman" w:hAnsi="Times New Roman"/>
                <w:webHidden/>
                <w:sz w:val="24"/>
              </w:rPr>
              <w:t>……………</w: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t>…………………………………………</w:t>
            </w:r>
            <w:r w:rsidR="005A579F" w:rsidRPr="00441E95">
              <w:rPr>
                <w:rFonts w:ascii="Times New Roman" w:hAnsi="Times New Roman"/>
                <w:webHidden/>
                <w:sz w:val="24"/>
              </w:rPr>
              <w:tab/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t>……………………</w:t>
            </w:r>
            <w:r w:rsidR="00D77E36" w:rsidRPr="00441E95">
              <w:rPr>
                <w:rFonts w:ascii="Times New Roman" w:hAnsi="Times New Roman"/>
                <w:webHidden/>
                <w:sz w:val="24"/>
              </w:rPr>
              <w:t>.</w: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fldChar w:fldCharType="begin"/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instrText xml:space="preserve"> PAGEREF _Toc3300678 \h </w:instrTex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fldChar w:fldCharType="separate"/>
            </w:r>
            <w:r w:rsidR="009A56FA">
              <w:rPr>
                <w:rFonts w:ascii="Times New Roman" w:hAnsi="Times New Roman"/>
                <w:webHidden/>
                <w:sz w:val="24"/>
              </w:rPr>
              <w:t>20</w: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fldChar w:fldCharType="end"/>
            </w:r>
          </w:hyperlink>
        </w:p>
        <w:p w14:paraId="4844B956" w14:textId="6A88E3E5" w:rsidR="00EE3D14" w:rsidRPr="00441E95" w:rsidRDefault="000E1F84">
          <w:pPr>
            <w:pStyle w:val="TOC1"/>
            <w:rPr>
              <w:rFonts w:ascii="Times New Roman" w:eastAsiaTheme="minorEastAsia" w:hAnsi="Times New Roman"/>
              <w:sz w:val="24"/>
              <w:lang w:eastAsia="hr-HR"/>
            </w:rPr>
          </w:pPr>
          <w:hyperlink w:anchor="_Toc3300679" w:history="1">
            <w:r w:rsidR="00EE3D14" w:rsidRPr="00441E95">
              <w:rPr>
                <w:rStyle w:val="Hyperlink"/>
                <w:rFonts w:ascii="Times New Roman" w:hAnsi="Times New Roman"/>
                <w:sz w:val="24"/>
              </w:rPr>
              <w:t>8. PREGLED PROMJENA</w:t>
            </w:r>
            <w:r w:rsidR="007A6A30" w:rsidRPr="00441E95">
              <w:rPr>
                <w:rStyle w:val="Hyperlink"/>
                <w:rFonts w:ascii="Times New Roman" w:hAnsi="Times New Roman"/>
                <w:sz w:val="24"/>
              </w:rPr>
              <w:t>……….</w: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tab/>
            </w:r>
            <w:r w:rsidR="00D77E36" w:rsidRPr="00441E95">
              <w:rPr>
                <w:rFonts w:ascii="Times New Roman" w:hAnsi="Times New Roman"/>
                <w:webHidden/>
                <w:sz w:val="24"/>
              </w:rPr>
              <w:t>…</w: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fldChar w:fldCharType="begin"/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instrText xml:space="preserve"> PAGEREF _Toc3300679 \h </w:instrTex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fldChar w:fldCharType="separate"/>
            </w:r>
            <w:r w:rsidR="009A56FA">
              <w:rPr>
                <w:rFonts w:ascii="Times New Roman" w:hAnsi="Times New Roman"/>
                <w:webHidden/>
                <w:sz w:val="24"/>
              </w:rPr>
              <w:t>28</w:t>
            </w:r>
            <w:r w:rsidR="00EE3D14" w:rsidRPr="00441E95">
              <w:rPr>
                <w:rFonts w:ascii="Times New Roman" w:hAnsi="Times New Roman"/>
                <w:webHidden/>
                <w:sz w:val="24"/>
              </w:rPr>
              <w:fldChar w:fldCharType="end"/>
            </w:r>
          </w:hyperlink>
        </w:p>
        <w:p w14:paraId="4FA0E234" w14:textId="6F5477D7" w:rsidR="00EE3D14" w:rsidRPr="00441E95" w:rsidRDefault="00EE3D14">
          <w:pPr>
            <w:rPr>
              <w:rFonts w:ascii="Times New Roman" w:hAnsi="Times New Roman"/>
              <w:noProof w:val="0"/>
              <w:sz w:val="24"/>
            </w:rPr>
          </w:pPr>
          <w:r w:rsidRPr="00441E95">
            <w:rPr>
              <w:rFonts w:ascii="Times New Roman" w:hAnsi="Times New Roman"/>
              <w:b/>
              <w:bCs/>
              <w:noProof w:val="0"/>
              <w:sz w:val="24"/>
            </w:rPr>
            <w:fldChar w:fldCharType="end"/>
          </w:r>
        </w:p>
      </w:sdtContent>
    </w:sdt>
    <w:p w14:paraId="37A0CF53" w14:textId="74A63473" w:rsidR="006C2DE0" w:rsidRPr="00441E95" w:rsidRDefault="006C2DE0">
      <w:pPr>
        <w:tabs>
          <w:tab w:val="clear" w:pos="2160"/>
        </w:tabs>
        <w:spacing w:before="0"/>
        <w:ind w:left="0" w:firstLine="0"/>
        <w:jc w:val="left"/>
        <w:rPr>
          <w:noProof w:val="0"/>
        </w:rPr>
      </w:pPr>
      <w:r w:rsidRPr="00441E95">
        <w:rPr>
          <w:noProof w:val="0"/>
        </w:rPr>
        <w:br w:type="page"/>
      </w:r>
    </w:p>
    <w:p w14:paraId="01913EB7" w14:textId="7748BFA6" w:rsidR="00640EEA" w:rsidRPr="00441E95" w:rsidRDefault="000F6404" w:rsidP="00E43F36">
      <w:pPr>
        <w:pStyle w:val="Heading1"/>
        <w:spacing w:before="360" w:after="360"/>
        <w:ind w:left="624" w:hanging="624"/>
        <w:rPr>
          <w:rFonts w:ascii="Times New Roman" w:hAnsi="Times New Roman" w:cs="Times New Roman"/>
          <w:noProof w:val="0"/>
          <w:sz w:val="24"/>
        </w:rPr>
      </w:pPr>
      <w:bookmarkStart w:id="3" w:name="_Toc3300631"/>
      <w:bookmarkStart w:id="4" w:name="_Toc3300670"/>
      <w:r w:rsidRPr="00441E95">
        <w:rPr>
          <w:rFonts w:ascii="Times New Roman" w:hAnsi="Times New Roman" w:cs="Times New Roman"/>
          <w:noProof w:val="0"/>
          <w:sz w:val="24"/>
        </w:rPr>
        <w:lastRenderedPageBreak/>
        <w:t>1</w:t>
      </w:r>
      <w:r w:rsidR="000C23D7" w:rsidRPr="00441E95">
        <w:rPr>
          <w:rFonts w:ascii="Times New Roman" w:hAnsi="Times New Roman" w:cs="Times New Roman"/>
          <w:noProof w:val="0"/>
          <w:sz w:val="24"/>
        </w:rPr>
        <w:t>.</w:t>
      </w:r>
      <w:r w:rsidR="00200FCB" w:rsidRPr="00441E95">
        <w:rPr>
          <w:rFonts w:ascii="Times New Roman" w:hAnsi="Times New Roman" w:cs="Times New Roman"/>
          <w:noProof w:val="0"/>
          <w:sz w:val="24"/>
        </w:rPr>
        <w:t xml:space="preserve"> </w:t>
      </w:r>
      <w:r w:rsidR="006B4ED0" w:rsidRPr="00441E95">
        <w:rPr>
          <w:rFonts w:ascii="Times New Roman" w:hAnsi="Times New Roman" w:cs="Times New Roman"/>
          <w:noProof w:val="0"/>
          <w:sz w:val="24"/>
        </w:rPr>
        <w:t>S</w:t>
      </w:r>
      <w:r w:rsidR="000C23D7" w:rsidRPr="00441E95">
        <w:rPr>
          <w:rFonts w:ascii="Times New Roman" w:hAnsi="Times New Roman" w:cs="Times New Roman"/>
          <w:noProof w:val="0"/>
          <w:sz w:val="24"/>
        </w:rPr>
        <w:t>VRHA</w:t>
      </w:r>
      <w:bookmarkEnd w:id="2"/>
      <w:bookmarkEnd w:id="3"/>
      <w:bookmarkEnd w:id="4"/>
    </w:p>
    <w:p w14:paraId="3C1F9F23" w14:textId="77777777" w:rsidR="000C23D7" w:rsidRPr="00441E95" w:rsidRDefault="000C23D7" w:rsidP="006957C1">
      <w:pPr>
        <w:spacing w:before="0"/>
        <w:ind w:left="0" w:firstLine="0"/>
        <w:rPr>
          <w:noProof w:val="0"/>
        </w:rPr>
      </w:pPr>
    </w:p>
    <w:p w14:paraId="2428E573" w14:textId="05FC006B" w:rsidR="0089272C" w:rsidRPr="00441E95" w:rsidRDefault="00DD7E9B" w:rsidP="001A2AFF">
      <w:pPr>
        <w:pStyle w:val="Arial105ptbefore"/>
        <w:spacing w:before="0"/>
        <w:jc w:val="both"/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</w:pPr>
      <w:r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Ovo </w:t>
      </w:r>
      <w:r w:rsidR="000C23D7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poglavlje </w:t>
      </w:r>
      <w:r w:rsidR="00B61BEC" w:rsidRPr="00441E95">
        <w:rPr>
          <w:rFonts w:ascii="Times New Roman" w:hAnsi="Times New Roman"/>
          <w:noProof w:val="0"/>
          <w:sz w:val="24"/>
          <w:szCs w:val="24"/>
          <w:lang w:val="hr-HR"/>
        </w:rPr>
        <w:t>ZNP-a</w:t>
      </w:r>
      <w:r w:rsidR="00A829FC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 </w:t>
      </w:r>
      <w:r w:rsidRPr="00441E95">
        <w:rPr>
          <w:rFonts w:ascii="Times New Roman" w:hAnsi="Times New Roman"/>
          <w:noProof w:val="0"/>
          <w:sz w:val="24"/>
          <w:szCs w:val="24"/>
          <w:lang w:val="hr-HR"/>
        </w:rPr>
        <w:t>opisuje sveob</w:t>
      </w:r>
      <w:r w:rsidR="0021319B" w:rsidRPr="00441E95">
        <w:rPr>
          <w:rFonts w:ascii="Times New Roman" w:hAnsi="Times New Roman"/>
          <w:noProof w:val="0"/>
          <w:sz w:val="24"/>
          <w:szCs w:val="24"/>
          <w:lang w:val="hr-HR"/>
        </w:rPr>
        <w:t>u</w:t>
      </w:r>
      <w:r w:rsidRPr="00441E95">
        <w:rPr>
          <w:rFonts w:ascii="Times New Roman" w:hAnsi="Times New Roman"/>
          <w:noProof w:val="0"/>
          <w:sz w:val="24"/>
          <w:szCs w:val="24"/>
          <w:lang w:val="hr-HR"/>
        </w:rPr>
        <w:t>h</w:t>
      </w:r>
      <w:r w:rsidR="0021319B" w:rsidRPr="00441E95">
        <w:rPr>
          <w:rFonts w:ascii="Times New Roman" w:hAnsi="Times New Roman"/>
          <w:noProof w:val="0"/>
          <w:sz w:val="24"/>
          <w:szCs w:val="24"/>
          <w:lang w:val="hr-HR"/>
        </w:rPr>
        <w:t>v</w:t>
      </w:r>
      <w:r w:rsidRPr="00441E95">
        <w:rPr>
          <w:rFonts w:ascii="Times New Roman" w:hAnsi="Times New Roman"/>
          <w:noProof w:val="0"/>
          <w:sz w:val="24"/>
          <w:szCs w:val="24"/>
          <w:lang w:val="hr-HR"/>
        </w:rPr>
        <w:t>atni proc</w:t>
      </w:r>
      <w:r w:rsidR="00B8573E" w:rsidRPr="00441E95">
        <w:rPr>
          <w:rFonts w:ascii="Times New Roman" w:hAnsi="Times New Roman"/>
          <w:noProof w:val="0"/>
          <w:sz w:val="24"/>
          <w:szCs w:val="24"/>
          <w:lang w:val="hr-HR"/>
        </w:rPr>
        <w:t>es uspostav</w:t>
      </w:r>
      <w:r w:rsidR="00E54018" w:rsidRPr="00441E95">
        <w:rPr>
          <w:rFonts w:ascii="Times New Roman" w:hAnsi="Times New Roman"/>
          <w:noProof w:val="0"/>
          <w:sz w:val="24"/>
          <w:szCs w:val="24"/>
          <w:lang w:val="hr-HR"/>
        </w:rPr>
        <w:t>ljanja</w:t>
      </w:r>
      <w:r w:rsidR="00B8573E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 i upravljanja </w:t>
      </w:r>
      <w:r w:rsidR="00B61BEC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financijskim </w:t>
      </w:r>
      <w:r w:rsidR="000B0E99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instrumentima </w:t>
      </w:r>
      <w:r w:rsidR="00B61BEC" w:rsidRPr="00441E95">
        <w:rPr>
          <w:rFonts w:ascii="Times New Roman" w:hAnsi="Times New Roman"/>
          <w:noProof w:val="0"/>
          <w:sz w:val="24"/>
          <w:szCs w:val="24"/>
          <w:lang w:val="hr-HR"/>
        </w:rPr>
        <w:t>(u nastavku teksta: FI)</w:t>
      </w:r>
      <w:r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 </w:t>
      </w:r>
      <w:r w:rsidR="00A829FC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što </w:t>
      </w:r>
      <w:r w:rsidRPr="00441E95">
        <w:rPr>
          <w:rFonts w:ascii="Times New Roman" w:hAnsi="Times New Roman"/>
          <w:noProof w:val="0"/>
          <w:sz w:val="24"/>
          <w:szCs w:val="24"/>
          <w:lang w:val="hr-HR"/>
        </w:rPr>
        <w:t>uključuje aktivnosti koj</w:t>
      </w:r>
      <w:r w:rsidR="008C38E8">
        <w:rPr>
          <w:rFonts w:ascii="Times New Roman" w:hAnsi="Times New Roman"/>
          <w:noProof w:val="0"/>
          <w:sz w:val="24"/>
          <w:szCs w:val="24"/>
          <w:lang w:val="hr-HR"/>
        </w:rPr>
        <w:t>e</w:t>
      </w:r>
      <w:r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 se odnose na </w:t>
      </w:r>
      <w:r w:rsidR="00157099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odredbe o </w:t>
      </w:r>
      <w:r w:rsidR="00A829FC" w:rsidRPr="00441E95">
        <w:rPr>
          <w:rFonts w:ascii="Times New Roman" w:hAnsi="Times New Roman"/>
          <w:noProof w:val="0"/>
          <w:sz w:val="24"/>
          <w:szCs w:val="24"/>
          <w:lang w:val="hr-HR"/>
        </w:rPr>
        <w:t>uspostavi i provedb</w:t>
      </w:r>
      <w:r w:rsidR="004B50D1" w:rsidRPr="00441E95">
        <w:rPr>
          <w:rFonts w:ascii="Times New Roman" w:hAnsi="Times New Roman"/>
          <w:noProof w:val="0"/>
          <w:sz w:val="24"/>
          <w:szCs w:val="24"/>
          <w:lang w:val="hr-HR"/>
        </w:rPr>
        <w:t>i</w:t>
      </w:r>
      <w:r w:rsidR="00A829FC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 FI-</w:t>
      </w:r>
      <w:r w:rsidR="00DE28A7" w:rsidRPr="00441E95">
        <w:rPr>
          <w:rFonts w:ascii="Times New Roman" w:hAnsi="Times New Roman"/>
          <w:noProof w:val="0"/>
          <w:sz w:val="24"/>
          <w:szCs w:val="24"/>
          <w:lang w:val="hr-HR"/>
        </w:rPr>
        <w:t>jeva</w:t>
      </w:r>
      <w:r w:rsidR="0089272C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 koji su osnovani </w:t>
      </w:r>
      <w:r w:rsidR="00A829FC" w:rsidRPr="00441E95">
        <w:rPr>
          <w:rFonts w:ascii="Times New Roman" w:hAnsi="Times New Roman"/>
          <w:noProof w:val="0"/>
          <w:sz w:val="24"/>
          <w:szCs w:val="24"/>
          <w:lang w:val="hr-HR"/>
        </w:rPr>
        <w:t>na nacionalnoj razini</w:t>
      </w:r>
      <w:r w:rsidR="00833038" w:rsidRPr="00441E95">
        <w:rPr>
          <w:rFonts w:ascii="Times New Roman" w:hAnsi="Times New Roman"/>
          <w:noProof w:val="0"/>
          <w:sz w:val="24"/>
          <w:szCs w:val="24"/>
          <w:lang w:val="hr-HR"/>
        </w:rPr>
        <w:t>,</w:t>
      </w:r>
      <w:r w:rsidR="00A829FC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 </w:t>
      </w:r>
      <w:r w:rsidR="0089272C" w:rsidRPr="00441E95">
        <w:rPr>
          <w:rFonts w:ascii="Times New Roman" w:hAnsi="Times New Roman"/>
          <w:noProof w:val="0"/>
          <w:sz w:val="24"/>
          <w:szCs w:val="24"/>
          <w:lang w:val="hr-HR"/>
        </w:rPr>
        <w:t>a</w:t>
      </w:r>
      <w:r w:rsidR="00A829FC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 kojima upravlja </w:t>
      </w:r>
      <w:r w:rsidR="004B50D1" w:rsidRPr="00441E95">
        <w:rPr>
          <w:rFonts w:ascii="Times New Roman" w:hAnsi="Times New Roman"/>
          <w:noProof w:val="0"/>
          <w:sz w:val="24"/>
          <w:szCs w:val="24"/>
          <w:lang w:val="hr-HR"/>
        </w:rPr>
        <w:t>Upravljačko tijelo (</w:t>
      </w:r>
      <w:r w:rsidR="00A829FC" w:rsidRPr="00441E95">
        <w:rPr>
          <w:rFonts w:ascii="Times New Roman" w:hAnsi="Times New Roman"/>
          <w:noProof w:val="0"/>
          <w:sz w:val="24"/>
          <w:szCs w:val="24"/>
          <w:lang w:val="hr-HR"/>
        </w:rPr>
        <w:t>UT</w:t>
      </w:r>
      <w:r w:rsidR="004B50D1" w:rsidRPr="00441E95">
        <w:rPr>
          <w:rFonts w:ascii="Times New Roman" w:hAnsi="Times New Roman"/>
          <w:noProof w:val="0"/>
          <w:sz w:val="24"/>
          <w:szCs w:val="24"/>
          <w:lang w:val="hr-HR"/>
        </w:rPr>
        <w:t>)</w:t>
      </w:r>
      <w:r w:rsidR="000B3B28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, </w:t>
      </w:r>
      <w:r w:rsidR="00496C90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a izdatke kojih ovjerava Tijelo za ovjeravanje (TO), </w:t>
      </w:r>
      <w:r w:rsidR="000B3B28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bez obzira </w:t>
      </w:r>
      <w:r w:rsidR="008C38E8">
        <w:rPr>
          <w:rFonts w:ascii="Times New Roman" w:hAnsi="Times New Roman"/>
          <w:noProof w:val="0"/>
          <w:sz w:val="24"/>
          <w:szCs w:val="24"/>
          <w:lang w:val="hr-HR"/>
        </w:rPr>
        <w:t xml:space="preserve">na to </w:t>
      </w:r>
      <w:r w:rsidR="000B3B28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jesu li </w:t>
      </w:r>
      <w:r w:rsidR="0089272C" w:rsidRPr="00441E95">
        <w:rPr>
          <w:rFonts w:ascii="Times New Roman" w:hAnsi="Times New Roman"/>
          <w:noProof w:val="0"/>
          <w:sz w:val="24"/>
          <w:szCs w:val="24"/>
          <w:lang w:val="hr-HR"/>
        </w:rPr>
        <w:t>standardn</w:t>
      </w:r>
      <w:r w:rsidR="000B3B28" w:rsidRPr="00441E95">
        <w:rPr>
          <w:rFonts w:ascii="Times New Roman" w:hAnsi="Times New Roman"/>
          <w:noProof w:val="0"/>
          <w:sz w:val="24"/>
          <w:szCs w:val="24"/>
          <w:lang w:val="hr-HR"/>
        </w:rPr>
        <w:t>i</w:t>
      </w:r>
      <w:r w:rsidR="0089272C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 ili prilagođen</w:t>
      </w:r>
      <w:r w:rsidR="000B3B28" w:rsidRPr="00441E95">
        <w:rPr>
          <w:rFonts w:ascii="Times New Roman" w:hAnsi="Times New Roman"/>
          <w:noProof w:val="0"/>
          <w:sz w:val="24"/>
          <w:szCs w:val="24"/>
          <w:lang w:val="hr-HR"/>
        </w:rPr>
        <w:t>i</w:t>
      </w:r>
      <w:r w:rsidR="00FA2FAA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, </w:t>
      </w:r>
      <w:r w:rsidR="00A815B3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a kod kojih </w:t>
      </w:r>
      <w:r w:rsidR="004A55CF" w:rsidRPr="00441E95">
        <w:rPr>
          <w:rFonts w:ascii="Times New Roman" w:hAnsi="Times New Roman"/>
          <w:noProof w:val="0"/>
          <w:sz w:val="24"/>
          <w:szCs w:val="24"/>
          <w:lang w:val="hr-HR"/>
        </w:rPr>
        <w:t>s</w:t>
      </w:r>
      <w:r w:rsidR="00A815B3" w:rsidRPr="00441E95">
        <w:rPr>
          <w:rFonts w:ascii="Times New Roman" w:hAnsi="Times New Roman"/>
          <w:noProof w:val="0"/>
          <w:sz w:val="24"/>
          <w:szCs w:val="24"/>
          <w:lang w:val="hr-HR"/>
        </w:rPr>
        <w:t>u zadaće provedbe povjerene drugim tij</w:t>
      </w:r>
      <w:r w:rsidR="008C38E8">
        <w:rPr>
          <w:rFonts w:ascii="Times New Roman" w:hAnsi="Times New Roman"/>
          <w:noProof w:val="0"/>
          <w:sz w:val="24"/>
          <w:szCs w:val="24"/>
          <w:lang w:val="hr-HR"/>
        </w:rPr>
        <w:t xml:space="preserve"> </w:t>
      </w:r>
      <w:r w:rsidR="00A815B3" w:rsidRPr="00441E95">
        <w:rPr>
          <w:rFonts w:ascii="Times New Roman" w:hAnsi="Times New Roman"/>
          <w:noProof w:val="0"/>
          <w:sz w:val="24"/>
          <w:szCs w:val="24"/>
          <w:lang w:val="hr-HR"/>
        </w:rPr>
        <w:t>elima/institucija</w:t>
      </w:r>
      <w:r w:rsidR="0036519F" w:rsidRPr="00441E95">
        <w:rPr>
          <w:rFonts w:ascii="Times New Roman" w:hAnsi="Times New Roman"/>
          <w:noProof w:val="0"/>
          <w:sz w:val="24"/>
          <w:szCs w:val="24"/>
          <w:lang w:val="hr-HR"/>
        </w:rPr>
        <w:t>ma</w:t>
      </w:r>
      <w:r w:rsidR="000A1517" w:rsidRPr="00441E95">
        <w:rPr>
          <w:rFonts w:ascii="Times New Roman" w:hAnsi="Times New Roman"/>
          <w:noProof w:val="0"/>
          <w:sz w:val="24"/>
          <w:szCs w:val="24"/>
          <w:lang w:val="hr-HR"/>
        </w:rPr>
        <w:t>.</w:t>
      </w:r>
      <w:r w:rsidR="00FB7DF5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 </w:t>
      </w:r>
      <w:r w:rsidR="003E5E7F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 xml:space="preserve">Uzevši u obzir specifičnosti </w:t>
      </w:r>
      <w:r w:rsidR="00FB7DF5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 xml:space="preserve">pružanja </w:t>
      </w:r>
      <w:r w:rsidR="0089272C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 xml:space="preserve">potpore putem </w:t>
      </w:r>
      <w:r w:rsidR="000A1517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>FI</w:t>
      </w:r>
      <w:r w:rsidR="000C23D7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>-</w:t>
      </w:r>
      <w:r w:rsidR="007A478D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>j</w:t>
      </w:r>
      <w:r w:rsidR="007A478D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>eva</w:t>
      </w:r>
      <w:r w:rsidR="0089272C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 xml:space="preserve">, ZNP pruža okvir za razumijevanje aktivnosti upravljanja i kontrole kada se odnose na </w:t>
      </w:r>
      <w:r w:rsidR="000A1517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>FI</w:t>
      </w:r>
      <w:r w:rsidR="00350AC1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>-jeve</w:t>
      </w:r>
      <w:r w:rsidR="0089272C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 xml:space="preserve"> te se u najvećoj mogućoj mjeri koristi ili naslanja na </w:t>
      </w:r>
      <w:r w:rsidR="000A1517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>ostal</w:t>
      </w:r>
      <w:r w:rsidR="000C23D7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 xml:space="preserve">a poglavlja </w:t>
      </w:r>
      <w:r w:rsidR="000A1517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>ZNP-</w:t>
      </w:r>
      <w:r w:rsidR="000C23D7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>a</w:t>
      </w:r>
      <w:r w:rsidR="000A1517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>. T</w:t>
      </w:r>
      <w:r w:rsidR="0059607D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>ijel</w:t>
      </w:r>
      <w:r w:rsidR="000A1517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>a</w:t>
      </w:r>
      <w:r w:rsidR="0059607D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 xml:space="preserve"> uključen</w:t>
      </w:r>
      <w:r w:rsidR="000A1517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>a</w:t>
      </w:r>
      <w:r w:rsidR="0059607D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 xml:space="preserve"> u provedbu FI-</w:t>
      </w:r>
      <w:r w:rsidR="00B20B1F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>jeva</w:t>
      </w:r>
      <w:r w:rsidR="0059607D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 xml:space="preserve"> </w:t>
      </w:r>
      <w:r w:rsidR="00BB75AB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 xml:space="preserve">na osnovi ovoga </w:t>
      </w:r>
      <w:r w:rsidR="000C23D7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 xml:space="preserve">poglavlja </w:t>
      </w:r>
      <w:r w:rsidR="00BB75AB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>ZNP-a</w:t>
      </w:r>
      <w:r w:rsidR="002160D2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>,</w:t>
      </w:r>
      <w:r w:rsidR="00BB75AB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 xml:space="preserve"> </w:t>
      </w:r>
      <w:r w:rsidR="00DE05AD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>po potrebi</w:t>
      </w:r>
      <w:r w:rsidR="000A1517" w:rsidRPr="00441E95">
        <w:rPr>
          <w:rStyle w:val="FootnoteReference"/>
          <w:rFonts w:ascii="Times New Roman" w:eastAsia="Arial" w:hAnsi="Times New Roman"/>
          <w:noProof w:val="0"/>
          <w:sz w:val="24"/>
          <w:szCs w:val="24"/>
          <w:lang w:val="hr-HR"/>
        </w:rPr>
        <w:footnoteReference w:id="2"/>
      </w:r>
      <w:r w:rsidR="002160D2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 xml:space="preserve"> </w:t>
      </w:r>
      <w:r w:rsidR="00DE05AD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 xml:space="preserve">i u </w:t>
      </w:r>
      <w:r w:rsidR="000A1517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>odgovarajućem</w:t>
      </w:r>
      <w:r w:rsidR="00DE05AD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 xml:space="preserve"> opsegu i detaljnosti</w:t>
      </w:r>
      <w:r w:rsidR="006C2DE0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>,</w:t>
      </w:r>
      <w:r w:rsidR="00DE05AD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 xml:space="preserve"> </w:t>
      </w:r>
      <w:r w:rsidR="0059607D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>priprema</w:t>
      </w:r>
      <w:r w:rsidR="000A1517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>ju</w:t>
      </w:r>
      <w:r w:rsidR="0059607D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 xml:space="preserve"> svoj </w:t>
      </w:r>
      <w:r w:rsidR="00A45F32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>P</w:t>
      </w:r>
      <w:r w:rsidR="00DE05AD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>riručnik o postupanju (</w:t>
      </w:r>
      <w:r w:rsidR="0059607D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>PoP</w:t>
      </w:r>
      <w:r w:rsidR="00DE05AD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>)</w:t>
      </w:r>
      <w:r w:rsidR="0059607D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 xml:space="preserve"> koji obuhvaća </w:t>
      </w:r>
      <w:r w:rsidR="000D13D7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>zadatke provedbe FI-</w:t>
      </w:r>
      <w:r w:rsidR="00B20B1F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>j</w:t>
      </w:r>
      <w:r w:rsidR="00B20B1F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>eva</w:t>
      </w:r>
      <w:r w:rsidR="00B20B1F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 xml:space="preserve"> </w:t>
      </w:r>
      <w:r w:rsidR="00A45F32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 xml:space="preserve">iz </w:t>
      </w:r>
      <w:r w:rsidR="0059607D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>njihov</w:t>
      </w:r>
      <w:r w:rsidR="00A45F32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 xml:space="preserve">e </w:t>
      </w:r>
      <w:r w:rsidR="0059607D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>odgovornosti.</w:t>
      </w:r>
      <w:r w:rsidR="00DE05AD" w:rsidRPr="00441E95"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  <w:t xml:space="preserve"> </w:t>
      </w:r>
    </w:p>
    <w:p w14:paraId="4CE45E6C" w14:textId="77777777" w:rsidR="006C2DE0" w:rsidRPr="00441E95" w:rsidRDefault="006C2DE0" w:rsidP="001A2AFF">
      <w:pPr>
        <w:pStyle w:val="Arial105ptbefore"/>
        <w:spacing w:before="0"/>
        <w:jc w:val="both"/>
        <w:rPr>
          <w:rStyle w:val="Corpsdutexte44"/>
          <w:rFonts w:ascii="Times New Roman" w:eastAsia="Arial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</w:pPr>
    </w:p>
    <w:p w14:paraId="4FF722A6" w14:textId="3BFF82F1" w:rsidR="00223242" w:rsidRPr="00441E95" w:rsidRDefault="00FF44AD" w:rsidP="00C445BD">
      <w:pPr>
        <w:pStyle w:val="Arial105ptbefore"/>
        <w:spacing w:before="0"/>
        <w:jc w:val="both"/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</w:pPr>
      <w:r w:rsidRPr="00441E95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>FI</w:t>
      </w:r>
      <w:r w:rsidR="007A478D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>-jevi</w:t>
      </w:r>
      <w:r w:rsidR="000A3AF6" w:rsidRPr="00441E95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 xml:space="preserve"> </w:t>
      </w:r>
      <w:r w:rsidR="002F1D6D" w:rsidRPr="00441E95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 xml:space="preserve">su </w:t>
      </w:r>
      <w:r w:rsidR="000A3AF6" w:rsidRPr="00441E95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>definirani</w:t>
      </w:r>
      <w:r w:rsidR="00833038" w:rsidRPr="00441E95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 xml:space="preserve"> </w:t>
      </w:r>
      <w:r w:rsidR="00EB4564" w:rsidRPr="00441E95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>čl</w:t>
      </w:r>
      <w:r w:rsidR="00833038" w:rsidRPr="00441E95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 xml:space="preserve">ankom </w:t>
      </w:r>
      <w:r w:rsidR="00EB4564" w:rsidRPr="00441E95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>2.</w:t>
      </w:r>
      <w:r w:rsidR="00C35CE1" w:rsidRPr="00441E95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 xml:space="preserve"> </w:t>
      </w:r>
      <w:r w:rsidR="00EB4564" w:rsidRPr="00441E95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>st</w:t>
      </w:r>
      <w:r w:rsidR="00833038" w:rsidRPr="00441E95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>avkom</w:t>
      </w:r>
      <w:r w:rsidR="00EB4564" w:rsidRPr="00441E95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 xml:space="preserve"> 29. Uredbe (EU, Euratom) 2018/1046 Europskog Parlamenta i Vijeća od 18. srpnja 2018. o financijskim pravilima koja se primjenjuju na opći proračun Unije, o izmjeni uredaba (EU) br. 1296/2013, (EU) br. 1301/2013, (EU) br. 1303/2013, (EU) br. 1304/2013, (EU) br. 1309/2013, (EU) br. 1316/2013, (EU) br. 223/2014, (EU) br. 283/2014 i Odluke br. 541/2014/EU te o stavljanju izvan snage Uredbe (EU, Euratom) br. 966/2012</w:t>
      </w:r>
      <w:r w:rsidR="00C44162" w:rsidRPr="00441E95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>,</w:t>
      </w:r>
      <w:r w:rsidR="00EB4564" w:rsidRPr="00441E95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 xml:space="preserve"> </w:t>
      </w:r>
      <w:r w:rsidR="000A3AF6" w:rsidRPr="00441E95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 xml:space="preserve">kao mjera </w:t>
      </w:r>
      <w:r w:rsidR="00C445BD" w:rsidRPr="00441E95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 xml:space="preserve">financijske </w:t>
      </w:r>
      <w:r w:rsidR="000A3AF6" w:rsidRPr="00441E95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>potpore EU koja se pruža iz proračuna kako bi se postigao jedan ili više određenih ciljeva politike EU</w:t>
      </w:r>
      <w:r w:rsidR="001F436A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>. Takva mjera može</w:t>
      </w:r>
      <w:r w:rsidR="00C44162" w:rsidRPr="00441E95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 xml:space="preserve"> </w:t>
      </w:r>
      <w:r w:rsidR="000A3AF6" w:rsidRPr="00441E95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>imati oblik vlasničkog ili kvazivlasničkog ulaganja, zajma ili jamstva, ili drugog instrumenata podjele rizika</w:t>
      </w:r>
      <w:r w:rsidR="001F436A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>, a</w:t>
      </w:r>
      <w:r w:rsidR="000A3AF6" w:rsidRPr="00441E95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 xml:space="preserve"> može se, prema potrebi, kombinirati </w:t>
      </w:r>
      <w:r w:rsidR="00C445BD" w:rsidRPr="00441E95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 xml:space="preserve">s </w:t>
      </w:r>
      <w:r w:rsidR="00C445BD" w:rsidRPr="00441E95">
        <w:rPr>
          <w:rFonts w:ascii="Times New Roman" w:eastAsia="Arial" w:hAnsi="Times New Roman"/>
          <w:bCs w:val="0"/>
          <w:iCs/>
          <w:noProof w:val="0"/>
          <w:sz w:val="24"/>
          <w:szCs w:val="24"/>
          <w:lang w:val="hr-HR"/>
        </w:rPr>
        <w:t xml:space="preserve">drugim vrstama financijske potpore, sa sredstvima u okviru podijeljenog upravljanja ili sa sredstvima iz Europskog razvojnog fonda (ERF) </w:t>
      </w:r>
      <w:r w:rsidR="000A3AF6" w:rsidRPr="00441E95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>.</w:t>
      </w:r>
    </w:p>
    <w:p w14:paraId="56F92B25" w14:textId="77777777" w:rsidR="00223242" w:rsidRPr="00441E95" w:rsidRDefault="00223242" w:rsidP="001A2AFF">
      <w:pPr>
        <w:pStyle w:val="Arial105ptbefore"/>
        <w:spacing w:before="0"/>
        <w:jc w:val="both"/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</w:pPr>
    </w:p>
    <w:p w14:paraId="2FF91969" w14:textId="07F66F7F" w:rsidR="00223242" w:rsidRPr="00441E95" w:rsidRDefault="00D618E8" w:rsidP="001A2AFF">
      <w:pPr>
        <w:pStyle w:val="Arial105ptbefore"/>
        <w:spacing w:before="0"/>
        <w:jc w:val="both"/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</w:pPr>
      <w:r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>Pored</w:t>
      </w:r>
      <w:r w:rsidRPr="00441E95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 xml:space="preserve"> Uredbe (EU, Euratom) 2018/1046</w:t>
      </w:r>
      <w:r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>, i</w:t>
      </w:r>
      <w:r w:rsidRPr="00441E95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 xml:space="preserve"> </w:t>
      </w:r>
      <w:r w:rsidR="00223242" w:rsidRPr="00441E95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>Uredba (</w:t>
      </w:r>
      <w:r w:rsidR="00223242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EU) br. 1303/2013 </w:t>
      </w:r>
      <w:r w:rsidR="0090103C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Europskog Parlamenta i Vijeća od 17. prosinca 2013. o utvrđivanju zajedničkih odredbi o Europskom fondu za regionalni razvoj, Europskom socijalnom fondu, Kohezijskom fondu, Europskom poljoprivrednom fondu za ruralni razvoj i Europskom fondu za pomorstvo i ribarstvo i o utvrđivanju općih odredbi o Europskom fondu za regionalni razvoj, Europskom socijalnom fondu, Kohezijskom fondu i Europskom fondu za pomorstvo i ribarstvo te o stavljanju izvan snage Uredbe Vijeća (EZ) br. 1083/2006</w:t>
      </w:r>
      <w:r w:rsidR="00F14603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,</w:t>
      </w:r>
      <w:r w:rsidR="0090103C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 </w:t>
      </w:r>
      <w:r w:rsidR="00223242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utvrđuje pravila koja se odnose na FI</w:t>
      </w:r>
      <w:r w:rsidR="007A478D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-jeve</w:t>
      </w:r>
      <w:r w:rsidR="00223242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. </w:t>
      </w:r>
      <w:r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N</w:t>
      </w:r>
      <w:r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a FI</w:t>
      </w:r>
      <w:r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-jeve se p</w:t>
      </w:r>
      <w:r w:rsidR="00223242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onajprije</w:t>
      </w:r>
      <w:r w:rsidR="0051565A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 </w:t>
      </w:r>
      <w:r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odnosi</w:t>
      </w:r>
      <w:r w:rsidR="00223242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 Glava IV</w:t>
      </w:r>
      <w:r w:rsidR="00DE28A7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.</w:t>
      </w:r>
      <w:r w:rsidR="00223242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 Uredbe (EU) br. 1303/2013 (članci 37. </w:t>
      </w:r>
      <w:bookmarkStart w:id="5" w:name="_Hlk29975238"/>
      <w:r w:rsidR="00223242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– </w:t>
      </w:r>
      <w:bookmarkEnd w:id="5"/>
      <w:r w:rsidR="00223242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46.), pri čemu se ističe da se potpora </w:t>
      </w:r>
      <w:r w:rsidR="0051565A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putem </w:t>
      </w:r>
      <w:r w:rsidR="00223242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FI</w:t>
      </w:r>
      <w:r w:rsidR="006C2DE0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-</w:t>
      </w:r>
      <w:r w:rsidR="0051565A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j</w:t>
      </w:r>
      <w:r w:rsidR="007A478D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eva</w:t>
      </w:r>
      <w:r w:rsidR="00223242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 temelji na </w:t>
      </w:r>
      <w:r w:rsidR="00223242" w:rsidRPr="00441E95">
        <w:rPr>
          <w:rFonts w:ascii="Times New Roman" w:eastAsia="Arial" w:hAnsi="Times New Roman"/>
          <w:i/>
          <w:iCs/>
          <w:noProof w:val="0"/>
          <w:sz w:val="24"/>
          <w:szCs w:val="24"/>
          <w:lang w:val="hr-HR"/>
        </w:rPr>
        <w:t>ex ante</w:t>
      </w:r>
      <w:r w:rsidR="00223242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 </w:t>
      </w:r>
      <w:r w:rsidR="00706AF2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analizi</w:t>
      </w:r>
      <w:r w:rsidR="00706AF2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 </w:t>
      </w:r>
      <w:r w:rsidR="00223242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kojom je ustanovljena nefunkcionalnost tržišta ili neoptimaln</w:t>
      </w:r>
      <w:r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ost</w:t>
      </w:r>
      <w:r w:rsidR="00223242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 investicij</w:t>
      </w:r>
      <w:r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a. U navedenim odredbama </w:t>
      </w:r>
      <w:r w:rsidR="00223242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navodi </w:t>
      </w:r>
      <w:r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se</w:t>
      </w:r>
      <w:r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 </w:t>
      </w:r>
      <w:r w:rsidR="00223242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mogućnost kombiniranja FI</w:t>
      </w:r>
      <w:r w:rsidR="006C2DE0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-j</w:t>
      </w:r>
      <w:r w:rsidR="007A478D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eva</w:t>
      </w:r>
      <w:r w:rsidR="00223242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 s drugim oblicima financiranja, utvrđuje se putem kojih FI</w:t>
      </w:r>
      <w:r w:rsidR="006C2DE0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-j</w:t>
      </w:r>
      <w:r w:rsidR="00B20B1F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eva</w:t>
      </w:r>
      <w:r w:rsidR="00223242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 će UT dodijeliti financijski doprinos te nužnost usklađenosti s primjenjivim pravom.</w:t>
      </w:r>
    </w:p>
    <w:p w14:paraId="0250AB5D" w14:textId="77777777" w:rsidR="008C0CE6" w:rsidRPr="00441E95" w:rsidRDefault="008C0CE6" w:rsidP="001A2AFF">
      <w:pPr>
        <w:pStyle w:val="Arial105ptbefore"/>
        <w:spacing w:before="0"/>
        <w:jc w:val="both"/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</w:pPr>
    </w:p>
    <w:p w14:paraId="5ACAEA30" w14:textId="2F6F7AAD" w:rsidR="00F80D01" w:rsidRDefault="00223242" w:rsidP="001A2AFF">
      <w:pPr>
        <w:pStyle w:val="Arial105ptbefore"/>
        <w:spacing w:before="0"/>
        <w:jc w:val="both"/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</w:pPr>
      <w:r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Odredbama članka 38. Uredbe </w:t>
      </w:r>
      <w:r w:rsidR="00937874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(EU) br. 1303/2013 </w:t>
      </w:r>
      <w:r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utvrđeno je da UT može dodijeliti financijski doprinos </w:t>
      </w:r>
      <w:r w:rsidR="006C2DE0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FI-jevima</w:t>
      </w:r>
      <w:r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 koji su osnovani na razini </w:t>
      </w:r>
      <w:r w:rsidR="00937874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EU </w:t>
      </w:r>
      <w:r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te kojima izravno ili neizravno upravlja </w:t>
      </w:r>
      <w:r w:rsidR="00F14603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Europska k</w:t>
      </w:r>
      <w:r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omisija</w:t>
      </w:r>
      <w:r w:rsidR="005F5F4F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 (EK)</w:t>
      </w:r>
      <w:r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, odnosno </w:t>
      </w:r>
      <w:r w:rsidR="006C2DE0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FI-jevima</w:t>
      </w:r>
      <w:r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 koji su osnovani na nacionalnoj, regionalnoj, transnacionalnoj ili prekograničnoj razini te kojima upravlja </w:t>
      </w:r>
      <w:r w:rsidR="00937874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UT</w:t>
      </w:r>
      <w:r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 ili je upravljanje njima u nadležnosti tog tijela</w:t>
      </w:r>
      <w:r w:rsidR="008D6E98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 i, </w:t>
      </w:r>
      <w:r w:rsidR="008D6E98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lastRenderedPageBreak/>
        <w:t>konačno, FI-jevima</w:t>
      </w:r>
      <w:r w:rsidR="008D6E98" w:rsidRPr="008D6E98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 kojima se takav doprinos kombinira s financijskim proizvodima </w:t>
      </w:r>
      <w:r w:rsidR="008D6E98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Europske investicijske banke (u nastavku teksta: EIB)</w:t>
      </w:r>
      <w:r w:rsidR="008D6E98" w:rsidRPr="008D6E98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 u okviru Europsk</w:t>
      </w:r>
      <w:r w:rsidR="008D6E98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og</w:t>
      </w:r>
      <w:r w:rsidR="008D6E98" w:rsidRPr="008D6E98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 fond</w:t>
      </w:r>
      <w:r w:rsidR="008D6E98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a</w:t>
      </w:r>
      <w:r w:rsidR="008D6E98" w:rsidRPr="008D6E98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 za strateška ulaganja (</w:t>
      </w:r>
      <w:r w:rsidR="008D6E98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u nastavku teksta: </w:t>
      </w:r>
      <w:r w:rsidR="008D6E98" w:rsidRPr="008D6E98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EFSU)</w:t>
      </w:r>
      <w:r w:rsidR="008D6E98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.</w:t>
      </w:r>
    </w:p>
    <w:p w14:paraId="67B2F441" w14:textId="77777777" w:rsidR="008D6E98" w:rsidRPr="00441E95" w:rsidRDefault="008D6E98" w:rsidP="001A2AFF">
      <w:pPr>
        <w:pStyle w:val="Arial105ptbefore"/>
        <w:spacing w:before="0"/>
        <w:jc w:val="both"/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</w:pPr>
    </w:p>
    <w:p w14:paraId="35871A9D" w14:textId="6B1BEC67" w:rsidR="00F80D01" w:rsidRPr="00441E95" w:rsidRDefault="00F80D01" w:rsidP="001A2AFF">
      <w:pPr>
        <w:pStyle w:val="Arial105ptbefore"/>
        <w:spacing w:before="0"/>
        <w:jc w:val="both"/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</w:pPr>
      <w:r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Nadalje, članci 39.</w:t>
      </w:r>
      <w:r w:rsidR="00701073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 </w:t>
      </w:r>
      <w:r w:rsidR="000834FC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– </w:t>
      </w:r>
      <w:r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46. Uredbe </w:t>
      </w:r>
      <w:r w:rsidR="008D6E98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(EU) br. 1303/2013 </w:t>
      </w:r>
      <w:r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detaljnije </w:t>
      </w:r>
      <w:r w:rsidR="002E073B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uređuju provedbu FI</w:t>
      </w:r>
      <w:r w:rsidR="006C2DE0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-</w:t>
      </w:r>
      <w:r w:rsidR="000834FC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j</w:t>
      </w:r>
      <w:r w:rsidR="007A478D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eva</w:t>
      </w:r>
      <w:r w:rsidR="002E073B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, odnosno sadrže odredbe </w:t>
      </w:r>
      <w:r w:rsidR="000834FC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vezane uz </w:t>
      </w:r>
      <w:r w:rsidR="002E073B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procese kao što su </w:t>
      </w:r>
      <w:r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upravljanj</w:t>
      </w:r>
      <w:r w:rsidR="002E073B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e i kontrola</w:t>
      </w:r>
      <w:r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 FI</w:t>
      </w:r>
      <w:r w:rsidR="006C2DE0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-j</w:t>
      </w:r>
      <w:r w:rsidR="00A357F9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a</w:t>
      </w:r>
      <w:r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, zahtjev</w:t>
      </w:r>
      <w:r w:rsidR="002E073B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i</w:t>
      </w:r>
      <w:r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 za plaćanje koji uključuju izdatke za FI, prihvatljiv</w:t>
      </w:r>
      <w:r w:rsidR="002E073B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i</w:t>
      </w:r>
      <w:r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 izdat</w:t>
      </w:r>
      <w:r w:rsidR="002E073B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ci</w:t>
      </w:r>
      <w:r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, tretman kamata i drugih prihoda koje </w:t>
      </w:r>
      <w:r w:rsidR="00023D45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ostvaruje </w:t>
      </w:r>
      <w:r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FI, </w:t>
      </w:r>
      <w:r w:rsidR="009103DA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 xml:space="preserve">različito postupanje prema ulagačima, </w:t>
      </w:r>
      <w:r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ponovno korištenje sredstava tijekom i nakon razdoblja prihvatljivosti, te izvještavanje o provedbi FI</w:t>
      </w:r>
      <w:r w:rsidR="006C2DE0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-j</w:t>
      </w:r>
      <w:r w:rsidR="00023D45"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a</w:t>
      </w:r>
      <w:r w:rsidRPr="00441E95">
        <w:rPr>
          <w:rFonts w:ascii="Times New Roman" w:eastAsia="Arial" w:hAnsi="Times New Roman"/>
          <w:iCs/>
          <w:noProof w:val="0"/>
          <w:sz w:val="24"/>
          <w:szCs w:val="24"/>
          <w:lang w:val="hr-HR"/>
        </w:rPr>
        <w:t>.</w:t>
      </w:r>
    </w:p>
    <w:p w14:paraId="1B14D773" w14:textId="77777777" w:rsidR="00223242" w:rsidRPr="00441E95" w:rsidRDefault="00223242" w:rsidP="001A2AFF">
      <w:pPr>
        <w:pStyle w:val="Arial105ptbefore"/>
        <w:spacing w:before="0"/>
        <w:jc w:val="both"/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</w:pPr>
    </w:p>
    <w:p w14:paraId="099A0529" w14:textId="29491EE2" w:rsidR="000A3AF6" w:rsidRPr="00441E95" w:rsidRDefault="000A3AF6" w:rsidP="001A2AFF">
      <w:pPr>
        <w:pStyle w:val="Arial105ptbefore"/>
        <w:spacing w:before="0"/>
        <w:jc w:val="both"/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</w:pPr>
      <w:r w:rsidRPr="00441E95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 xml:space="preserve">Opisi navedenih oblika </w:t>
      </w:r>
      <w:r w:rsidR="00223242" w:rsidRPr="00441E95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>FI</w:t>
      </w:r>
      <w:r w:rsidR="006C2DE0" w:rsidRPr="00441E95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>-j</w:t>
      </w:r>
      <w:r w:rsidR="00B20B1F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>a</w:t>
      </w:r>
      <w:r w:rsidRPr="00441E95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 xml:space="preserve"> nalaze se u poglavlju 4.1. </w:t>
      </w:r>
      <w:r w:rsidR="00A7113E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>ZNP-a</w:t>
      </w:r>
      <w:r w:rsidRPr="00441E95">
        <w:rPr>
          <w:rStyle w:val="Corpsdutexte44"/>
          <w:rFonts w:ascii="Times New Roman" w:eastAsia="Arial" w:hAnsi="Times New Roman"/>
          <w:b w:val="0"/>
          <w:i w:val="0"/>
          <w:noProof w:val="0"/>
          <w:sz w:val="24"/>
          <w:szCs w:val="24"/>
          <w:u w:val="none"/>
          <w:lang w:val="hr-HR"/>
        </w:rPr>
        <w:t>.</w:t>
      </w:r>
    </w:p>
    <w:p w14:paraId="74C4BA14" w14:textId="77777777" w:rsidR="00E07CF5" w:rsidRPr="00441E95" w:rsidRDefault="00E07CF5" w:rsidP="001A2AFF">
      <w:pPr>
        <w:pStyle w:val="Arial105ptbefore"/>
        <w:spacing w:before="0"/>
        <w:jc w:val="both"/>
        <w:rPr>
          <w:rStyle w:val="Corpsdutexte44"/>
          <w:rFonts w:ascii="Times New Roman" w:hAnsi="Times New Roman"/>
          <w:b w:val="0"/>
          <w:i w:val="0"/>
          <w:iCs w:val="0"/>
          <w:noProof w:val="0"/>
          <w:sz w:val="24"/>
          <w:szCs w:val="24"/>
          <w:u w:val="none"/>
          <w:lang w:val="hr-HR"/>
        </w:rPr>
      </w:pPr>
    </w:p>
    <w:p w14:paraId="2F207F8B" w14:textId="77777777" w:rsidR="003563A4" w:rsidRPr="00441E95" w:rsidRDefault="00CE450C" w:rsidP="00E43F36">
      <w:pPr>
        <w:pStyle w:val="Heading1"/>
        <w:spacing w:before="360" w:after="360"/>
        <w:ind w:left="624" w:hanging="624"/>
        <w:rPr>
          <w:rFonts w:ascii="Times New Roman" w:hAnsi="Times New Roman" w:cs="Times New Roman"/>
          <w:noProof w:val="0"/>
          <w:sz w:val="24"/>
        </w:rPr>
      </w:pPr>
      <w:bookmarkStart w:id="6" w:name="_Toc447899774"/>
      <w:bookmarkStart w:id="7" w:name="_Toc3300632"/>
      <w:bookmarkStart w:id="8" w:name="_Toc3300671"/>
      <w:r w:rsidRPr="00441E95">
        <w:rPr>
          <w:rFonts w:ascii="Times New Roman" w:hAnsi="Times New Roman" w:cs="Times New Roman"/>
          <w:noProof w:val="0"/>
          <w:sz w:val="24"/>
        </w:rPr>
        <w:t xml:space="preserve">2. </w:t>
      </w:r>
      <w:r w:rsidR="006B4ED0" w:rsidRPr="00441E95">
        <w:rPr>
          <w:rFonts w:ascii="Times New Roman" w:hAnsi="Times New Roman" w:cs="Times New Roman"/>
          <w:noProof w:val="0"/>
          <w:sz w:val="24"/>
        </w:rPr>
        <w:t>O</w:t>
      </w:r>
      <w:r w:rsidR="000C23D7" w:rsidRPr="00441E95">
        <w:rPr>
          <w:rFonts w:ascii="Times New Roman" w:hAnsi="Times New Roman" w:cs="Times New Roman"/>
          <w:noProof w:val="0"/>
          <w:sz w:val="24"/>
        </w:rPr>
        <w:t>PSEG</w:t>
      </w:r>
      <w:bookmarkEnd w:id="6"/>
      <w:bookmarkEnd w:id="7"/>
      <w:bookmarkEnd w:id="8"/>
    </w:p>
    <w:p w14:paraId="0CC9D370" w14:textId="77777777" w:rsidR="000C23D7" w:rsidRPr="00441E95" w:rsidRDefault="000C23D7" w:rsidP="001A2AFF">
      <w:pPr>
        <w:pStyle w:val="Arial105ptbefore"/>
        <w:spacing w:before="0"/>
        <w:jc w:val="both"/>
        <w:rPr>
          <w:rFonts w:ascii="Times New Roman" w:hAnsi="Times New Roman"/>
          <w:noProof w:val="0"/>
          <w:sz w:val="24"/>
          <w:szCs w:val="24"/>
          <w:lang w:val="hr-HR"/>
        </w:rPr>
      </w:pPr>
    </w:p>
    <w:p w14:paraId="35C11E4B" w14:textId="3711E76E" w:rsidR="00B63815" w:rsidRPr="00441E95" w:rsidRDefault="00223242" w:rsidP="001A2AFF">
      <w:pPr>
        <w:pStyle w:val="Arial105ptbefore"/>
        <w:spacing w:before="0"/>
        <w:jc w:val="both"/>
        <w:rPr>
          <w:rFonts w:ascii="Times New Roman" w:hAnsi="Times New Roman"/>
          <w:noProof w:val="0"/>
          <w:sz w:val="24"/>
          <w:szCs w:val="24"/>
          <w:lang w:val="hr-HR"/>
        </w:rPr>
      </w:pPr>
      <w:r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Ovo poglavlje ZNP-a </w:t>
      </w:r>
      <w:r w:rsidR="00B63815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se </w:t>
      </w:r>
      <w:r w:rsidR="005A6F8A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primjenjuje </w:t>
      </w:r>
      <w:r w:rsidR="00550E81" w:rsidRPr="00441E95">
        <w:rPr>
          <w:rFonts w:ascii="Times New Roman" w:hAnsi="Times New Roman"/>
          <w:noProof w:val="0"/>
          <w:sz w:val="24"/>
          <w:szCs w:val="24"/>
          <w:lang w:val="hr-HR"/>
        </w:rPr>
        <w:t>na</w:t>
      </w:r>
      <w:r w:rsidR="0059607D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 </w:t>
      </w:r>
      <w:r w:rsidR="00E65455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svaki </w:t>
      </w:r>
      <w:r w:rsidR="0059607D" w:rsidRPr="00441E95">
        <w:rPr>
          <w:rFonts w:ascii="Times New Roman" w:hAnsi="Times New Roman"/>
          <w:noProof w:val="0"/>
          <w:sz w:val="24"/>
          <w:szCs w:val="24"/>
          <w:lang w:val="hr-HR"/>
        </w:rPr>
        <w:t>FI u okviru pripad</w:t>
      </w:r>
      <w:r w:rsidR="00193595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ajuće </w:t>
      </w:r>
      <w:r w:rsidR="0059607D" w:rsidRPr="00441E95">
        <w:rPr>
          <w:rFonts w:ascii="Times New Roman" w:hAnsi="Times New Roman"/>
          <w:noProof w:val="0"/>
          <w:sz w:val="24"/>
          <w:szCs w:val="24"/>
          <w:lang w:val="hr-HR"/>
        </w:rPr>
        <w:t>provedbene strukture koja obuhvaća UT</w:t>
      </w:r>
      <w:r w:rsidR="003505F0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 </w:t>
      </w:r>
      <w:r w:rsidR="000F6B97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i TO te </w:t>
      </w:r>
      <w:r w:rsidR="003505F0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sve pravne subjekte </w:t>
      </w:r>
      <w:r w:rsidR="00550E81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prihvatljive po </w:t>
      </w:r>
      <w:r w:rsidR="0039725A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pravnom okviru EU, </w:t>
      </w:r>
      <w:r w:rsidR="003505F0" w:rsidRPr="00441E95">
        <w:rPr>
          <w:rFonts w:ascii="Times New Roman" w:hAnsi="Times New Roman"/>
          <w:noProof w:val="0"/>
          <w:sz w:val="24"/>
          <w:szCs w:val="24"/>
          <w:lang w:val="hr-HR"/>
        </w:rPr>
        <w:t>a koje UT odab</w:t>
      </w:r>
      <w:r w:rsidR="00550E81" w:rsidRPr="00441E95">
        <w:rPr>
          <w:rFonts w:ascii="Times New Roman" w:hAnsi="Times New Roman"/>
          <w:noProof w:val="0"/>
          <w:sz w:val="24"/>
          <w:szCs w:val="24"/>
          <w:lang w:val="hr-HR"/>
        </w:rPr>
        <w:t>ire</w:t>
      </w:r>
      <w:r w:rsidR="003505F0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 </w:t>
      </w:r>
      <w:r w:rsidR="00550E81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za </w:t>
      </w:r>
      <w:r w:rsidR="003505F0" w:rsidRPr="00441E95">
        <w:rPr>
          <w:rFonts w:ascii="Times New Roman" w:hAnsi="Times New Roman"/>
          <w:noProof w:val="0"/>
          <w:sz w:val="24"/>
          <w:szCs w:val="24"/>
          <w:lang w:val="hr-HR"/>
        </w:rPr>
        <w:t>obavlja</w:t>
      </w:r>
      <w:r w:rsidR="00550E81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nje </w:t>
      </w:r>
      <w:r w:rsidR="003505F0" w:rsidRPr="00441E95">
        <w:rPr>
          <w:rFonts w:ascii="Times New Roman" w:hAnsi="Times New Roman"/>
          <w:noProof w:val="0"/>
          <w:sz w:val="24"/>
          <w:szCs w:val="24"/>
          <w:lang w:val="hr-HR"/>
        </w:rPr>
        <w:t>provedben</w:t>
      </w:r>
      <w:r w:rsidR="00550E81" w:rsidRPr="00441E95">
        <w:rPr>
          <w:rFonts w:ascii="Times New Roman" w:hAnsi="Times New Roman"/>
          <w:noProof w:val="0"/>
          <w:sz w:val="24"/>
          <w:szCs w:val="24"/>
          <w:lang w:val="hr-HR"/>
        </w:rPr>
        <w:t>ih</w:t>
      </w:r>
      <w:r w:rsidR="003505F0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 zadat</w:t>
      </w:r>
      <w:r w:rsidR="00550E81" w:rsidRPr="00441E95">
        <w:rPr>
          <w:rFonts w:ascii="Times New Roman" w:hAnsi="Times New Roman"/>
          <w:noProof w:val="0"/>
          <w:sz w:val="24"/>
          <w:szCs w:val="24"/>
          <w:lang w:val="hr-HR"/>
        </w:rPr>
        <w:t>aka u skladu s</w:t>
      </w:r>
      <w:r w:rsidR="003505F0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 njihovim s</w:t>
      </w:r>
      <w:r w:rsidR="0059607D" w:rsidRPr="00441E95">
        <w:rPr>
          <w:rFonts w:ascii="Times New Roman" w:hAnsi="Times New Roman"/>
          <w:noProof w:val="0"/>
          <w:sz w:val="24"/>
          <w:szCs w:val="24"/>
          <w:lang w:val="hr-HR"/>
        </w:rPr>
        <w:t>pecifičnim ulogama i odgovornostima</w:t>
      </w:r>
      <w:r w:rsidR="00550E81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. </w:t>
      </w:r>
      <w:r w:rsidR="00B63815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ZNP daje okvir za provođenje poslovnih procesa </w:t>
      </w:r>
      <w:r w:rsidR="00550E81" w:rsidRPr="00441E95">
        <w:rPr>
          <w:rFonts w:ascii="Times New Roman" w:hAnsi="Times New Roman"/>
          <w:noProof w:val="0"/>
          <w:sz w:val="24"/>
          <w:szCs w:val="24"/>
          <w:lang w:val="hr-HR"/>
        </w:rPr>
        <w:t>povezanij</w:t>
      </w:r>
      <w:r w:rsidR="00777543" w:rsidRPr="00441E95">
        <w:rPr>
          <w:rFonts w:ascii="Times New Roman" w:hAnsi="Times New Roman"/>
          <w:noProof w:val="0"/>
          <w:sz w:val="24"/>
          <w:szCs w:val="24"/>
          <w:lang w:val="hr-HR"/>
        </w:rPr>
        <w:t>i</w:t>
      </w:r>
      <w:r w:rsidR="00550E81" w:rsidRPr="00441E95">
        <w:rPr>
          <w:rFonts w:ascii="Times New Roman" w:hAnsi="Times New Roman"/>
          <w:noProof w:val="0"/>
          <w:sz w:val="24"/>
          <w:szCs w:val="24"/>
          <w:lang w:val="hr-HR"/>
        </w:rPr>
        <w:t>h s provedbom FI</w:t>
      </w:r>
      <w:r w:rsidR="00B038F7" w:rsidRPr="00441E95">
        <w:rPr>
          <w:rFonts w:ascii="Times New Roman" w:hAnsi="Times New Roman"/>
          <w:noProof w:val="0"/>
          <w:sz w:val="24"/>
          <w:szCs w:val="24"/>
          <w:lang w:val="hr-HR"/>
        </w:rPr>
        <w:t>-</w:t>
      </w:r>
      <w:r w:rsidR="003C0C59" w:rsidRPr="00441E95">
        <w:rPr>
          <w:rFonts w:ascii="Times New Roman" w:hAnsi="Times New Roman"/>
          <w:noProof w:val="0"/>
          <w:sz w:val="24"/>
          <w:szCs w:val="24"/>
          <w:lang w:val="hr-HR"/>
        </w:rPr>
        <w:t>j</w:t>
      </w:r>
      <w:r w:rsidR="00B038F7" w:rsidRPr="00441E95">
        <w:rPr>
          <w:rFonts w:ascii="Times New Roman" w:hAnsi="Times New Roman"/>
          <w:noProof w:val="0"/>
          <w:sz w:val="24"/>
          <w:szCs w:val="24"/>
          <w:lang w:val="hr-HR"/>
        </w:rPr>
        <w:t>a</w:t>
      </w:r>
      <w:r w:rsidR="00550E81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 </w:t>
      </w:r>
      <w:r w:rsidR="00EE01E9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u Sustavu upravljanja i kontrole (SUK) i provedbenoj </w:t>
      </w:r>
      <w:r w:rsidR="00550E81" w:rsidRPr="00441E95">
        <w:rPr>
          <w:rFonts w:ascii="Times New Roman" w:hAnsi="Times New Roman"/>
          <w:noProof w:val="0"/>
          <w:sz w:val="24"/>
          <w:szCs w:val="24"/>
          <w:lang w:val="hr-HR"/>
        </w:rPr>
        <w:t>strukturi pojedinog FI-</w:t>
      </w:r>
      <w:r w:rsidR="003C0C59" w:rsidRPr="00441E95">
        <w:rPr>
          <w:rFonts w:ascii="Times New Roman" w:hAnsi="Times New Roman"/>
          <w:noProof w:val="0"/>
          <w:sz w:val="24"/>
          <w:szCs w:val="24"/>
          <w:lang w:val="hr-HR"/>
        </w:rPr>
        <w:t>j</w:t>
      </w:r>
      <w:r w:rsidR="00550E81" w:rsidRPr="00441E95">
        <w:rPr>
          <w:rFonts w:ascii="Times New Roman" w:hAnsi="Times New Roman"/>
          <w:noProof w:val="0"/>
          <w:sz w:val="24"/>
          <w:szCs w:val="24"/>
          <w:lang w:val="hr-HR"/>
        </w:rPr>
        <w:t>a</w:t>
      </w:r>
      <w:r w:rsidR="00844EC2" w:rsidRPr="00441E95">
        <w:rPr>
          <w:rFonts w:ascii="Times New Roman" w:hAnsi="Times New Roman"/>
          <w:noProof w:val="0"/>
          <w:sz w:val="24"/>
          <w:szCs w:val="24"/>
          <w:lang w:val="hr-HR"/>
        </w:rPr>
        <w:t>,</w:t>
      </w:r>
      <w:r w:rsidR="00550E81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 navodeći za FI</w:t>
      </w:r>
      <w:r w:rsidR="00B63815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 specifične </w:t>
      </w:r>
      <w:r w:rsidR="00550E81" w:rsidRPr="00441E95">
        <w:rPr>
          <w:rFonts w:ascii="Times New Roman" w:hAnsi="Times New Roman"/>
          <w:noProof w:val="0"/>
          <w:sz w:val="24"/>
          <w:szCs w:val="24"/>
          <w:lang w:val="hr-HR"/>
        </w:rPr>
        <w:t>postupovne</w:t>
      </w:r>
      <w:r w:rsidR="00B63815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 zahtjeve. </w:t>
      </w:r>
      <w:r w:rsidR="00ED2FF5" w:rsidRPr="00441E95">
        <w:rPr>
          <w:rFonts w:ascii="Times New Roman" w:hAnsi="Times New Roman"/>
          <w:noProof w:val="0"/>
          <w:sz w:val="24"/>
          <w:szCs w:val="24"/>
          <w:lang w:val="hr-HR"/>
        </w:rPr>
        <w:t>O</w:t>
      </w:r>
      <w:r w:rsidR="0059607D" w:rsidRPr="00441E95">
        <w:rPr>
          <w:rFonts w:ascii="Times New Roman" w:hAnsi="Times New Roman"/>
          <w:noProof w:val="0"/>
          <w:sz w:val="24"/>
          <w:szCs w:val="24"/>
          <w:lang w:val="hr-HR"/>
        </w:rPr>
        <w:t>dnos</w:t>
      </w:r>
      <w:r w:rsidR="00ED2FF5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 </w:t>
      </w:r>
      <w:r w:rsidR="0059607D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između </w:t>
      </w:r>
      <w:r w:rsidR="00ED2FF5" w:rsidRPr="00441E95">
        <w:rPr>
          <w:rFonts w:ascii="Times New Roman" w:hAnsi="Times New Roman"/>
          <w:noProof w:val="0"/>
          <w:sz w:val="24"/>
          <w:szCs w:val="24"/>
          <w:lang w:val="hr-HR"/>
        </w:rPr>
        <w:t>UT</w:t>
      </w:r>
      <w:r w:rsidR="00B038F7" w:rsidRPr="00441E95">
        <w:rPr>
          <w:rFonts w:ascii="Times New Roman" w:hAnsi="Times New Roman"/>
          <w:noProof w:val="0"/>
          <w:sz w:val="24"/>
          <w:szCs w:val="24"/>
          <w:lang w:val="hr-HR"/>
        </w:rPr>
        <w:t>-a</w:t>
      </w:r>
      <w:r w:rsidR="00ED2FF5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 </w:t>
      </w:r>
      <w:r w:rsidR="003505F0" w:rsidRPr="00441E95">
        <w:rPr>
          <w:rFonts w:ascii="Times New Roman" w:hAnsi="Times New Roman"/>
          <w:noProof w:val="0"/>
          <w:sz w:val="24"/>
          <w:szCs w:val="24"/>
          <w:lang w:val="hr-HR"/>
        </w:rPr>
        <w:t>i pravnih subjekata provedbene strukture određenoga FI-</w:t>
      </w:r>
      <w:r w:rsidR="003C0C59" w:rsidRPr="00441E95">
        <w:rPr>
          <w:rFonts w:ascii="Times New Roman" w:hAnsi="Times New Roman"/>
          <w:noProof w:val="0"/>
          <w:sz w:val="24"/>
          <w:szCs w:val="24"/>
          <w:lang w:val="hr-HR"/>
        </w:rPr>
        <w:t>j</w:t>
      </w:r>
      <w:r w:rsidR="003505F0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a </w:t>
      </w:r>
      <w:r w:rsidR="0059607D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uređeni su </w:t>
      </w:r>
      <w:r w:rsidR="0089449E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detaljnije </w:t>
      </w:r>
      <w:r w:rsidR="002E73C3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pojedinim </w:t>
      </w:r>
      <w:r w:rsidR="002917D3">
        <w:rPr>
          <w:rFonts w:ascii="Times New Roman" w:hAnsi="Times New Roman"/>
          <w:noProof w:val="0"/>
          <w:sz w:val="24"/>
          <w:szCs w:val="24"/>
          <w:lang w:val="hr-HR"/>
        </w:rPr>
        <w:t>s</w:t>
      </w:r>
      <w:r w:rsidR="0059607D" w:rsidRPr="00441E95">
        <w:rPr>
          <w:rFonts w:ascii="Times New Roman" w:hAnsi="Times New Roman"/>
          <w:noProof w:val="0"/>
          <w:sz w:val="24"/>
          <w:szCs w:val="24"/>
          <w:lang w:val="hr-HR"/>
        </w:rPr>
        <w:t>porazum</w:t>
      </w:r>
      <w:r w:rsidR="00E65455" w:rsidRPr="00441E95">
        <w:rPr>
          <w:rFonts w:ascii="Times New Roman" w:hAnsi="Times New Roman"/>
          <w:noProof w:val="0"/>
          <w:sz w:val="24"/>
          <w:szCs w:val="24"/>
          <w:lang w:val="hr-HR"/>
        </w:rPr>
        <w:t>om</w:t>
      </w:r>
      <w:r w:rsidR="0059607D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 o financiranju</w:t>
      </w:r>
      <w:r w:rsidR="002E73C3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 (SoF)</w:t>
      </w:r>
      <w:r w:rsidR="0059607D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. </w:t>
      </w:r>
    </w:p>
    <w:p w14:paraId="4CB3FC56" w14:textId="77777777" w:rsidR="008C0CE6" w:rsidRPr="00441E95" w:rsidRDefault="008C0CE6" w:rsidP="001A2AFF">
      <w:pPr>
        <w:pStyle w:val="Arial105ptbefore"/>
        <w:spacing w:before="0"/>
        <w:jc w:val="both"/>
        <w:rPr>
          <w:rFonts w:ascii="Times New Roman" w:hAnsi="Times New Roman"/>
          <w:noProof w:val="0"/>
          <w:sz w:val="24"/>
          <w:szCs w:val="24"/>
          <w:lang w:val="hr-HR"/>
        </w:rPr>
      </w:pPr>
    </w:p>
    <w:p w14:paraId="73913B00" w14:textId="1FE2424D" w:rsidR="0011415E" w:rsidRPr="00441E95" w:rsidRDefault="00C549B4" w:rsidP="00D77E36">
      <w:pPr>
        <w:pStyle w:val="Arial105ptbefore"/>
        <w:spacing w:before="0"/>
        <w:jc w:val="both"/>
        <w:rPr>
          <w:rFonts w:ascii="Times New Roman" w:hAnsi="Times New Roman"/>
          <w:noProof w:val="0"/>
          <w:sz w:val="24"/>
          <w:szCs w:val="24"/>
          <w:lang w:val="hr-HR"/>
        </w:rPr>
      </w:pPr>
      <w:r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Ranije navedeno odnosi se i na </w:t>
      </w:r>
      <w:bookmarkStart w:id="9" w:name="_Hlk525038654"/>
      <w:r w:rsidR="003C0C59" w:rsidRPr="00441E95">
        <w:rPr>
          <w:rFonts w:ascii="Times New Roman" w:hAnsi="Times New Roman"/>
          <w:noProof w:val="0"/>
          <w:sz w:val="24"/>
          <w:szCs w:val="24"/>
          <w:lang w:val="hr-HR"/>
        </w:rPr>
        <w:t>SoF-ove</w:t>
      </w:r>
      <w:r w:rsidR="005E3FBD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 s EIB</w:t>
      </w:r>
      <w:r w:rsidR="00001BA0">
        <w:rPr>
          <w:rFonts w:ascii="Times New Roman" w:hAnsi="Times New Roman"/>
          <w:noProof w:val="0"/>
          <w:sz w:val="24"/>
          <w:szCs w:val="24"/>
          <w:lang w:val="hr-HR"/>
        </w:rPr>
        <w:t>-om,</w:t>
      </w:r>
      <w:r w:rsidR="005E3FBD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 odnosno članicom grupe EIB-a te s međunarodnom financijskom </w:t>
      </w:r>
      <w:bookmarkEnd w:id="9"/>
      <w:r w:rsidR="00802959" w:rsidRPr="00441E95">
        <w:rPr>
          <w:rFonts w:ascii="Times New Roman" w:hAnsi="Times New Roman"/>
          <w:noProof w:val="0"/>
          <w:sz w:val="24"/>
          <w:szCs w:val="24"/>
          <w:lang w:val="hr-HR"/>
        </w:rPr>
        <w:t>institucijom</w:t>
      </w:r>
      <w:r w:rsidRPr="00441E95">
        <w:rPr>
          <w:rFonts w:ascii="Times New Roman" w:hAnsi="Times New Roman"/>
          <w:noProof w:val="0"/>
          <w:sz w:val="24"/>
          <w:szCs w:val="24"/>
          <w:lang w:val="hr-HR"/>
        </w:rPr>
        <w:t>,</w:t>
      </w:r>
      <w:r w:rsidR="00802959"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 </w:t>
      </w:r>
      <w:r w:rsidRPr="00441E95">
        <w:rPr>
          <w:rFonts w:ascii="Times New Roman" w:hAnsi="Times New Roman"/>
          <w:noProof w:val="0"/>
          <w:sz w:val="24"/>
          <w:szCs w:val="24"/>
          <w:lang w:val="hr-HR"/>
        </w:rPr>
        <w:t>pri čemu su posebnosti koje se odnos</w:t>
      </w:r>
      <w:r w:rsidR="00844EC2" w:rsidRPr="00441E95">
        <w:rPr>
          <w:rFonts w:ascii="Times New Roman" w:hAnsi="Times New Roman"/>
          <w:noProof w:val="0"/>
          <w:sz w:val="24"/>
          <w:szCs w:val="24"/>
          <w:lang w:val="hr-HR"/>
        </w:rPr>
        <w:t>e</w:t>
      </w:r>
      <w:r w:rsidRPr="00441E95">
        <w:rPr>
          <w:rFonts w:ascii="Times New Roman" w:hAnsi="Times New Roman"/>
          <w:noProof w:val="0"/>
          <w:sz w:val="24"/>
          <w:szCs w:val="24"/>
          <w:lang w:val="hr-HR"/>
        </w:rPr>
        <w:t xml:space="preserve"> na taj način provedbe posebno istaknute u ZNP-u.</w:t>
      </w:r>
    </w:p>
    <w:p w14:paraId="4A26BA5E" w14:textId="77777777" w:rsidR="00D77E36" w:rsidRPr="00441E95" w:rsidRDefault="00D77E36" w:rsidP="00D77E36">
      <w:pPr>
        <w:pStyle w:val="Arial105ptbefore"/>
        <w:spacing w:before="0"/>
        <w:jc w:val="both"/>
        <w:rPr>
          <w:rFonts w:ascii="Times New Roman" w:hAnsi="Times New Roman"/>
          <w:noProof w:val="0"/>
          <w:sz w:val="24"/>
          <w:szCs w:val="24"/>
          <w:lang w:val="hr-HR"/>
        </w:rPr>
      </w:pPr>
    </w:p>
    <w:p w14:paraId="25915DF9" w14:textId="77777777" w:rsidR="006B4ED0" w:rsidRPr="00441E95" w:rsidRDefault="00CE450C" w:rsidP="00E43F36">
      <w:pPr>
        <w:pStyle w:val="Heading1"/>
        <w:spacing w:before="360" w:after="360"/>
        <w:ind w:left="624" w:hanging="624"/>
        <w:rPr>
          <w:rFonts w:ascii="Times New Roman" w:hAnsi="Times New Roman" w:cs="Times New Roman"/>
          <w:noProof w:val="0"/>
          <w:sz w:val="24"/>
        </w:rPr>
      </w:pPr>
      <w:bookmarkStart w:id="10" w:name="_Toc447899775"/>
      <w:bookmarkStart w:id="11" w:name="_Toc3300633"/>
      <w:bookmarkStart w:id="12" w:name="_Toc3300672"/>
      <w:r w:rsidRPr="00441E95">
        <w:rPr>
          <w:rFonts w:ascii="Times New Roman" w:hAnsi="Times New Roman" w:cs="Times New Roman"/>
          <w:noProof w:val="0"/>
          <w:sz w:val="24"/>
        </w:rPr>
        <w:t xml:space="preserve">3. </w:t>
      </w:r>
      <w:r w:rsidR="006B4ED0" w:rsidRPr="00441E95">
        <w:rPr>
          <w:rFonts w:ascii="Times New Roman" w:hAnsi="Times New Roman" w:cs="Times New Roman"/>
          <w:noProof w:val="0"/>
          <w:sz w:val="24"/>
        </w:rPr>
        <w:t>P</w:t>
      </w:r>
      <w:r w:rsidR="0011415E" w:rsidRPr="00441E95">
        <w:rPr>
          <w:rFonts w:ascii="Times New Roman" w:hAnsi="Times New Roman" w:cs="Times New Roman"/>
          <w:noProof w:val="0"/>
          <w:sz w:val="24"/>
        </w:rPr>
        <w:t>RAVNA ZAŠTITA I ZAJEDNIČKI OKVIRI</w:t>
      </w:r>
      <w:bookmarkEnd w:id="10"/>
      <w:bookmarkEnd w:id="11"/>
      <w:bookmarkEnd w:id="12"/>
    </w:p>
    <w:p w14:paraId="54CECD62" w14:textId="77777777" w:rsidR="0011415E" w:rsidRPr="00441E95" w:rsidRDefault="0011415E" w:rsidP="00B13BD7">
      <w:pPr>
        <w:ind w:left="0" w:firstLine="0"/>
        <w:rPr>
          <w:noProof w:val="0"/>
        </w:rPr>
      </w:pPr>
    </w:p>
    <w:p w14:paraId="1CA9FDB9" w14:textId="4BC2F08A" w:rsidR="00712358" w:rsidRPr="00441E95" w:rsidRDefault="00E71781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</w:rPr>
      </w:pPr>
      <w:r w:rsidRPr="00E71781">
        <w:rPr>
          <w:rFonts w:ascii="Times New Roman" w:hAnsi="Times New Roman"/>
          <w:noProof w:val="0"/>
          <w:sz w:val="24"/>
        </w:rPr>
        <w:t>P</w:t>
      </w:r>
      <w:r>
        <w:rPr>
          <w:rFonts w:ascii="Times New Roman" w:hAnsi="Times New Roman"/>
          <w:noProof w:val="0"/>
          <w:sz w:val="24"/>
        </w:rPr>
        <w:t>ored p</w:t>
      </w:r>
      <w:r w:rsidRPr="00E71781">
        <w:rPr>
          <w:rFonts w:ascii="Times New Roman" w:hAnsi="Times New Roman"/>
          <w:noProof w:val="0"/>
          <w:sz w:val="24"/>
        </w:rPr>
        <w:t>ravn</w:t>
      </w:r>
      <w:r>
        <w:rPr>
          <w:rFonts w:ascii="Times New Roman" w:hAnsi="Times New Roman"/>
          <w:noProof w:val="0"/>
          <w:sz w:val="24"/>
        </w:rPr>
        <w:t xml:space="preserve">og okvira sadržanog u ZNP-u br. 00, ovdje je obuhvaćena </w:t>
      </w:r>
      <w:r w:rsidR="00B038F7" w:rsidRPr="00441E95">
        <w:rPr>
          <w:rFonts w:ascii="Times New Roman" w:hAnsi="Times New Roman"/>
          <w:noProof w:val="0"/>
          <w:sz w:val="24"/>
        </w:rPr>
        <w:t>provedb</w:t>
      </w:r>
      <w:r>
        <w:rPr>
          <w:rFonts w:ascii="Times New Roman" w:hAnsi="Times New Roman"/>
          <w:noProof w:val="0"/>
          <w:sz w:val="24"/>
        </w:rPr>
        <w:t>a</w:t>
      </w:r>
      <w:r w:rsidR="00B038F7" w:rsidRPr="00441E95">
        <w:rPr>
          <w:rFonts w:ascii="Times New Roman" w:hAnsi="Times New Roman"/>
          <w:noProof w:val="0"/>
          <w:sz w:val="24"/>
        </w:rPr>
        <w:t xml:space="preserve"> </w:t>
      </w:r>
      <w:r w:rsidR="00712358" w:rsidRPr="00441E95">
        <w:rPr>
          <w:rFonts w:ascii="Times New Roman" w:hAnsi="Times New Roman"/>
          <w:noProof w:val="0"/>
          <w:sz w:val="24"/>
        </w:rPr>
        <w:t>odred</w:t>
      </w:r>
      <w:r w:rsidR="00B038F7" w:rsidRPr="00441E95">
        <w:rPr>
          <w:rFonts w:ascii="Times New Roman" w:hAnsi="Times New Roman"/>
          <w:noProof w:val="0"/>
          <w:sz w:val="24"/>
        </w:rPr>
        <w:t>a</w:t>
      </w:r>
      <w:r w:rsidR="00712358" w:rsidRPr="00441E95">
        <w:rPr>
          <w:rFonts w:ascii="Times New Roman" w:hAnsi="Times New Roman"/>
          <w:noProof w:val="0"/>
          <w:sz w:val="24"/>
        </w:rPr>
        <w:t>b</w:t>
      </w:r>
      <w:r w:rsidR="00B038F7" w:rsidRPr="00441E95">
        <w:rPr>
          <w:rFonts w:ascii="Times New Roman" w:hAnsi="Times New Roman"/>
          <w:noProof w:val="0"/>
          <w:sz w:val="24"/>
        </w:rPr>
        <w:t>a</w:t>
      </w:r>
      <w:r w:rsidR="00712358" w:rsidRPr="00441E95">
        <w:rPr>
          <w:rFonts w:ascii="Times New Roman" w:hAnsi="Times New Roman"/>
          <w:noProof w:val="0"/>
          <w:sz w:val="24"/>
        </w:rPr>
        <w:t xml:space="preserve"> naveden</w:t>
      </w:r>
      <w:r w:rsidR="00B038F7" w:rsidRPr="00441E95">
        <w:rPr>
          <w:rFonts w:ascii="Times New Roman" w:hAnsi="Times New Roman"/>
          <w:noProof w:val="0"/>
          <w:sz w:val="24"/>
        </w:rPr>
        <w:t>ih</w:t>
      </w:r>
      <w:r w:rsidR="00712358" w:rsidRPr="00441E95">
        <w:rPr>
          <w:rFonts w:ascii="Times New Roman" w:hAnsi="Times New Roman"/>
          <w:noProof w:val="0"/>
          <w:sz w:val="24"/>
        </w:rPr>
        <w:t xml:space="preserve"> u sljedećim dokumentima važećim u</w:t>
      </w:r>
      <w:r w:rsidR="005A6F8A" w:rsidRPr="00441E95">
        <w:rPr>
          <w:rFonts w:ascii="Times New Roman" w:hAnsi="Times New Roman"/>
          <w:noProof w:val="0"/>
          <w:sz w:val="24"/>
        </w:rPr>
        <w:t xml:space="preserve"> </w:t>
      </w:r>
      <w:r w:rsidR="00712358" w:rsidRPr="00441E95">
        <w:rPr>
          <w:rFonts w:ascii="Times New Roman" w:hAnsi="Times New Roman"/>
          <w:noProof w:val="0"/>
          <w:sz w:val="24"/>
        </w:rPr>
        <w:t>trenutku njihove primjene te njihove izmjene i dopune koje dijelom ili u cijelosti dokidaju pre</w:t>
      </w:r>
      <w:r w:rsidR="005A6F8A" w:rsidRPr="00441E95">
        <w:rPr>
          <w:rFonts w:ascii="Times New Roman" w:hAnsi="Times New Roman"/>
          <w:noProof w:val="0"/>
          <w:sz w:val="24"/>
        </w:rPr>
        <w:t xml:space="preserve">thodne </w:t>
      </w:r>
      <w:r w:rsidR="00712358" w:rsidRPr="00441E95">
        <w:rPr>
          <w:rFonts w:ascii="Times New Roman" w:hAnsi="Times New Roman"/>
          <w:noProof w:val="0"/>
          <w:sz w:val="24"/>
        </w:rPr>
        <w:t>inačice:</w:t>
      </w:r>
    </w:p>
    <w:p w14:paraId="407762DF" w14:textId="77777777" w:rsidR="00E07CF5" w:rsidRPr="00441E95" w:rsidRDefault="00E07CF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</w:rPr>
      </w:pPr>
    </w:p>
    <w:p w14:paraId="3F18D57C" w14:textId="77777777" w:rsidR="0011415E" w:rsidRPr="00441E95" w:rsidRDefault="0011415E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</w:rPr>
      </w:pPr>
    </w:p>
    <w:p w14:paraId="36C2D309" w14:textId="77777777" w:rsidR="0041630E" w:rsidRPr="00441E95" w:rsidRDefault="006B2883" w:rsidP="00EA6306">
      <w:pPr>
        <w:pStyle w:val="ListParagraph"/>
        <w:numPr>
          <w:ilvl w:val="1"/>
          <w:numId w:val="7"/>
        </w:numPr>
        <w:spacing w:before="0" w:after="0" w:line="240" w:lineRule="auto"/>
        <w:jc w:val="both"/>
        <w:rPr>
          <w:rFonts w:ascii="Times New Roman" w:hAnsi="Times New Roman"/>
          <w:b/>
          <w:noProof w:val="0"/>
          <w:sz w:val="24"/>
          <w:szCs w:val="24"/>
        </w:rPr>
      </w:pPr>
      <w:r w:rsidRPr="00441E95">
        <w:rPr>
          <w:rFonts w:ascii="Times New Roman" w:hAnsi="Times New Roman"/>
          <w:b/>
          <w:noProof w:val="0"/>
          <w:sz w:val="24"/>
          <w:szCs w:val="24"/>
        </w:rPr>
        <w:t>P</w:t>
      </w:r>
      <w:r w:rsidR="0041630E" w:rsidRPr="00441E95">
        <w:rPr>
          <w:rFonts w:ascii="Times New Roman" w:hAnsi="Times New Roman"/>
          <w:b/>
          <w:noProof w:val="0"/>
          <w:sz w:val="24"/>
          <w:szCs w:val="24"/>
        </w:rPr>
        <w:t>ravna osnova</w:t>
      </w:r>
      <w:r w:rsidRPr="00441E95">
        <w:rPr>
          <w:rFonts w:ascii="Times New Roman" w:hAnsi="Times New Roman"/>
          <w:b/>
          <w:noProof w:val="0"/>
          <w:sz w:val="24"/>
          <w:szCs w:val="24"/>
        </w:rPr>
        <w:t xml:space="preserve"> EU</w:t>
      </w:r>
    </w:p>
    <w:p w14:paraId="6B26C3B4" w14:textId="77777777" w:rsidR="0011415E" w:rsidRPr="00441E95" w:rsidRDefault="0011415E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</w:rPr>
      </w:pPr>
    </w:p>
    <w:p w14:paraId="492EBC83" w14:textId="1092BF3E" w:rsidR="005A6F8A" w:rsidRPr="00441E95" w:rsidRDefault="00E07CF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</w:rPr>
      </w:pPr>
      <w:r w:rsidRPr="00441E95">
        <w:rPr>
          <w:rFonts w:ascii="Times New Roman" w:hAnsi="Times New Roman"/>
          <w:noProof w:val="0"/>
          <w:sz w:val="24"/>
        </w:rPr>
        <w:t>O</w:t>
      </w:r>
      <w:r w:rsidR="005A6F8A" w:rsidRPr="00441E95">
        <w:rPr>
          <w:rFonts w:ascii="Times New Roman" w:hAnsi="Times New Roman"/>
          <w:noProof w:val="0"/>
          <w:sz w:val="24"/>
        </w:rPr>
        <w:t>pći pravni okvir EU</w:t>
      </w:r>
      <w:r w:rsidR="006A7B4F" w:rsidRPr="00441E95">
        <w:rPr>
          <w:rFonts w:ascii="Times New Roman" w:hAnsi="Times New Roman"/>
          <w:noProof w:val="0"/>
          <w:sz w:val="24"/>
        </w:rPr>
        <w:t>:</w:t>
      </w:r>
    </w:p>
    <w:p w14:paraId="6132D37B" w14:textId="77777777" w:rsidR="00E65A77" w:rsidRPr="00441E95" w:rsidRDefault="00E65A77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</w:rPr>
      </w:pPr>
    </w:p>
    <w:p w14:paraId="2102CBA1" w14:textId="134EF3C6" w:rsidR="00F02147" w:rsidRPr="00441E95" w:rsidRDefault="00F02147" w:rsidP="00E914A0">
      <w:pPr>
        <w:numPr>
          <w:ilvl w:val="0"/>
          <w:numId w:val="3"/>
        </w:numPr>
        <w:spacing w:before="0"/>
        <w:ind w:left="567" w:hanging="567"/>
        <w:rPr>
          <w:rFonts w:ascii="Times New Roman" w:hAnsi="Times New Roman"/>
          <w:noProof w:val="0"/>
          <w:sz w:val="24"/>
        </w:rPr>
      </w:pPr>
      <w:r w:rsidRPr="00441E95">
        <w:rPr>
          <w:rFonts w:ascii="Times New Roman" w:hAnsi="Times New Roman"/>
          <w:noProof w:val="0"/>
          <w:sz w:val="24"/>
        </w:rPr>
        <w:t xml:space="preserve">Uredba </w:t>
      </w:r>
      <w:r w:rsidRPr="00E914A0">
        <w:rPr>
          <w:rFonts w:ascii="Times New Roman" w:hAnsi="Times New Roman"/>
          <w:bCs/>
          <w:iCs/>
          <w:noProof w:val="0"/>
          <w:sz w:val="22"/>
          <w:szCs w:val="22"/>
        </w:rPr>
        <w:t>Vijeća</w:t>
      </w:r>
      <w:r w:rsidRPr="00E914A0">
        <w:rPr>
          <w:rFonts w:ascii="Times New Roman" w:hAnsi="Times New Roman"/>
          <w:noProof w:val="0"/>
          <w:sz w:val="22"/>
          <w:szCs w:val="22"/>
        </w:rPr>
        <w:t xml:space="preserve"> (EZ</w:t>
      </w:r>
      <w:r w:rsidRPr="00441E95">
        <w:rPr>
          <w:rFonts w:ascii="Times New Roman" w:hAnsi="Times New Roman"/>
          <w:noProof w:val="0"/>
          <w:sz w:val="24"/>
        </w:rPr>
        <w:t>, Euratom) br. 2988/95 od 18. prosinca 1995. o zaštiti financijskih interesa Europskih zajednica, SL L 312</w:t>
      </w:r>
      <w:r w:rsidR="008946DF" w:rsidRPr="00441E95">
        <w:rPr>
          <w:rFonts w:ascii="Times New Roman" w:hAnsi="Times New Roman"/>
          <w:noProof w:val="0"/>
          <w:sz w:val="24"/>
        </w:rPr>
        <w:t>/1</w:t>
      </w:r>
      <w:r w:rsidRPr="00441E95">
        <w:rPr>
          <w:rFonts w:ascii="Times New Roman" w:hAnsi="Times New Roman"/>
          <w:noProof w:val="0"/>
          <w:sz w:val="24"/>
        </w:rPr>
        <w:t xml:space="preserve">, </w:t>
      </w:r>
      <w:r w:rsidR="006F2F81" w:rsidRPr="00441E95">
        <w:rPr>
          <w:rFonts w:ascii="Times New Roman" w:hAnsi="Times New Roman"/>
          <w:noProof w:val="0"/>
          <w:sz w:val="24"/>
        </w:rPr>
        <w:t>18</w:t>
      </w:r>
      <w:r w:rsidRPr="00441E95">
        <w:rPr>
          <w:rFonts w:ascii="Times New Roman" w:hAnsi="Times New Roman"/>
          <w:noProof w:val="0"/>
          <w:sz w:val="24"/>
        </w:rPr>
        <w:t>.12.1995.</w:t>
      </w:r>
      <w:r w:rsidR="00A1425F" w:rsidRPr="00441E95">
        <w:rPr>
          <w:rFonts w:ascii="Times New Roman" w:hAnsi="Times New Roman"/>
          <w:noProof w:val="0"/>
          <w:sz w:val="24"/>
        </w:rPr>
        <w:t>;</w:t>
      </w:r>
      <w:r w:rsidRPr="00441E95">
        <w:rPr>
          <w:rFonts w:ascii="Times New Roman" w:hAnsi="Times New Roman"/>
          <w:noProof w:val="0"/>
          <w:sz w:val="24"/>
        </w:rPr>
        <w:t xml:space="preserve">  </w:t>
      </w:r>
    </w:p>
    <w:p w14:paraId="034A9165" w14:textId="56EABF21" w:rsidR="00F02147" w:rsidRPr="00441E95" w:rsidRDefault="00F02147" w:rsidP="001A2AFF">
      <w:pPr>
        <w:numPr>
          <w:ilvl w:val="0"/>
          <w:numId w:val="3"/>
        </w:numPr>
        <w:spacing w:before="0"/>
        <w:ind w:left="567" w:hanging="567"/>
        <w:rPr>
          <w:rFonts w:ascii="Times New Roman" w:hAnsi="Times New Roman"/>
          <w:noProof w:val="0"/>
          <w:sz w:val="24"/>
        </w:rPr>
      </w:pPr>
      <w:r w:rsidRPr="00441E95">
        <w:rPr>
          <w:rFonts w:ascii="Times New Roman" w:hAnsi="Times New Roman"/>
          <w:noProof w:val="0"/>
          <w:sz w:val="24"/>
        </w:rPr>
        <w:lastRenderedPageBreak/>
        <w:t>Uredba Vijeća (Euratom, EZ) br. 2185/96 od 11. studenoga 1996. o provjerama i inspekcijama na terenu koje provodi Komisija s ciljem zaštite financijskih interesa Europskih zajednica od prijevara i ostalih nepravilnosti; SL L 292</w:t>
      </w:r>
      <w:r w:rsidR="001D5402" w:rsidRPr="00441E95">
        <w:rPr>
          <w:rFonts w:ascii="Times New Roman" w:hAnsi="Times New Roman"/>
          <w:noProof w:val="0"/>
          <w:sz w:val="24"/>
        </w:rPr>
        <w:t>/2</w:t>
      </w:r>
      <w:r w:rsidRPr="00441E95">
        <w:rPr>
          <w:rFonts w:ascii="Times New Roman" w:hAnsi="Times New Roman"/>
          <w:noProof w:val="0"/>
          <w:sz w:val="24"/>
        </w:rPr>
        <w:t xml:space="preserve">, </w:t>
      </w:r>
      <w:r w:rsidR="00C31C88" w:rsidRPr="00441E95">
        <w:rPr>
          <w:rFonts w:ascii="Times New Roman" w:hAnsi="Times New Roman"/>
          <w:noProof w:val="0"/>
          <w:sz w:val="24"/>
        </w:rPr>
        <w:t>11</w:t>
      </w:r>
      <w:r w:rsidRPr="00441E95">
        <w:rPr>
          <w:rFonts w:ascii="Times New Roman" w:hAnsi="Times New Roman"/>
          <w:noProof w:val="0"/>
          <w:sz w:val="24"/>
        </w:rPr>
        <w:t>.11.1996.</w:t>
      </w:r>
      <w:r w:rsidR="00A1425F" w:rsidRPr="00441E95">
        <w:rPr>
          <w:rFonts w:ascii="Times New Roman" w:hAnsi="Times New Roman"/>
          <w:noProof w:val="0"/>
          <w:sz w:val="24"/>
        </w:rPr>
        <w:t>;</w:t>
      </w:r>
    </w:p>
    <w:p w14:paraId="67649C1B" w14:textId="6BCDEE19" w:rsidR="00F02147" w:rsidRPr="00441E95" w:rsidRDefault="00F02147" w:rsidP="001A2AFF">
      <w:pPr>
        <w:numPr>
          <w:ilvl w:val="0"/>
          <w:numId w:val="3"/>
        </w:numPr>
        <w:spacing w:before="0"/>
        <w:ind w:left="567" w:hanging="567"/>
        <w:rPr>
          <w:rFonts w:ascii="Times New Roman" w:hAnsi="Times New Roman"/>
          <w:noProof w:val="0"/>
          <w:sz w:val="24"/>
        </w:rPr>
      </w:pPr>
      <w:r w:rsidRPr="00441E95">
        <w:rPr>
          <w:rFonts w:ascii="Times New Roman" w:hAnsi="Times New Roman"/>
          <w:noProof w:val="0"/>
          <w:sz w:val="24"/>
        </w:rPr>
        <w:t>Direktiva 2013/34/EU Europskog parlamenta i vijeća od 26.</w:t>
      </w:r>
      <w:r w:rsidR="004A55CF" w:rsidRPr="00441E95">
        <w:rPr>
          <w:rFonts w:ascii="Times New Roman" w:hAnsi="Times New Roman"/>
          <w:noProof w:val="0"/>
          <w:sz w:val="24"/>
        </w:rPr>
        <w:t xml:space="preserve"> </w:t>
      </w:r>
      <w:r w:rsidRPr="00441E95">
        <w:rPr>
          <w:rFonts w:ascii="Times New Roman" w:hAnsi="Times New Roman"/>
          <w:noProof w:val="0"/>
          <w:sz w:val="24"/>
        </w:rPr>
        <w:t xml:space="preserve">lipnja 2013 o godišnjim financijskim izvještajima, konsolidiranim financijskim izvještajima i povezanim izvješćima za određene vrste poduzeća, o izmjeni Direktive 2006/43/EZ Europskog parlamenta i Vijeća i o stavljanju izvan snage direktiva Vijeća 78/660/EEZ i 83/349/EEZ; </w:t>
      </w:r>
      <w:r w:rsidRPr="00441E95">
        <w:rPr>
          <w:rFonts w:ascii="Times New Roman" w:eastAsia="Arial" w:hAnsi="Times New Roman"/>
          <w:noProof w:val="0"/>
          <w:sz w:val="24"/>
        </w:rPr>
        <w:t>SL  L 182/19, 26.06.2013.</w:t>
      </w:r>
      <w:r w:rsidR="00A1425F" w:rsidRPr="00441E95">
        <w:rPr>
          <w:rFonts w:ascii="Times New Roman" w:eastAsia="Arial" w:hAnsi="Times New Roman"/>
          <w:noProof w:val="0"/>
          <w:sz w:val="24"/>
        </w:rPr>
        <w:t>;</w:t>
      </w:r>
    </w:p>
    <w:p w14:paraId="19C5952C" w14:textId="4B2FA15F" w:rsidR="00F02147" w:rsidRPr="00441E95" w:rsidRDefault="00F02147" w:rsidP="001A2AFF">
      <w:pPr>
        <w:numPr>
          <w:ilvl w:val="0"/>
          <w:numId w:val="3"/>
        </w:numPr>
        <w:spacing w:before="0"/>
        <w:ind w:left="567" w:hanging="567"/>
        <w:rPr>
          <w:rFonts w:ascii="Times New Roman" w:hAnsi="Times New Roman"/>
          <w:noProof w:val="0"/>
          <w:sz w:val="24"/>
        </w:rPr>
      </w:pPr>
      <w:r w:rsidRPr="00441E95">
        <w:rPr>
          <w:rFonts w:ascii="Times New Roman" w:hAnsi="Times New Roman"/>
          <w:noProof w:val="0"/>
          <w:sz w:val="24"/>
        </w:rPr>
        <w:t xml:space="preserve">Uredba </w:t>
      </w:r>
      <w:r w:rsidR="00F01424" w:rsidRPr="00441E95">
        <w:rPr>
          <w:rFonts w:ascii="Times New Roman" w:hAnsi="Times New Roman"/>
          <w:noProof w:val="0"/>
          <w:sz w:val="24"/>
        </w:rPr>
        <w:t xml:space="preserve">883/2013 </w:t>
      </w:r>
      <w:r w:rsidRPr="00441E95">
        <w:rPr>
          <w:rFonts w:ascii="Times New Roman" w:hAnsi="Times New Roman"/>
          <w:noProof w:val="0"/>
          <w:sz w:val="24"/>
        </w:rPr>
        <w:t xml:space="preserve">Europskog parlamenta i vijeća o istragama koje provodi Europski ured za borbu protiv prijevara (OLAF) i stavljanju izvan snage Uredbe (EZ) br. 1073/1999 Europskog parlamenta i Vijeća te Uredbe Vijeća (Euratom) br. 1074/1999 ; SL L </w:t>
      </w:r>
      <w:r w:rsidR="00C31C88" w:rsidRPr="00441E95">
        <w:rPr>
          <w:rFonts w:ascii="Times New Roman" w:hAnsi="Times New Roman"/>
          <w:noProof w:val="0"/>
          <w:sz w:val="24"/>
        </w:rPr>
        <w:t>248</w:t>
      </w:r>
      <w:r w:rsidRPr="00441E95">
        <w:rPr>
          <w:rFonts w:ascii="Times New Roman" w:hAnsi="Times New Roman"/>
          <w:noProof w:val="0"/>
          <w:sz w:val="24"/>
        </w:rPr>
        <w:t xml:space="preserve">/1 od </w:t>
      </w:r>
      <w:r w:rsidR="00C31C88" w:rsidRPr="00441E95">
        <w:rPr>
          <w:rFonts w:ascii="Times New Roman" w:hAnsi="Times New Roman"/>
          <w:noProof w:val="0"/>
          <w:sz w:val="24"/>
        </w:rPr>
        <w:t>18</w:t>
      </w:r>
      <w:r w:rsidRPr="00441E95">
        <w:rPr>
          <w:rFonts w:ascii="Times New Roman" w:hAnsi="Times New Roman"/>
          <w:noProof w:val="0"/>
          <w:sz w:val="24"/>
        </w:rPr>
        <w:t>.</w:t>
      </w:r>
      <w:r w:rsidR="00C31C88" w:rsidRPr="00441E95">
        <w:rPr>
          <w:rFonts w:ascii="Times New Roman" w:hAnsi="Times New Roman"/>
          <w:noProof w:val="0"/>
          <w:sz w:val="24"/>
        </w:rPr>
        <w:t>09</w:t>
      </w:r>
      <w:r w:rsidRPr="00441E95">
        <w:rPr>
          <w:rFonts w:ascii="Times New Roman" w:hAnsi="Times New Roman"/>
          <w:noProof w:val="0"/>
          <w:sz w:val="24"/>
        </w:rPr>
        <w:t>.2013.</w:t>
      </w:r>
      <w:r w:rsidR="00A1425F" w:rsidRPr="00441E95">
        <w:rPr>
          <w:rFonts w:ascii="Times New Roman" w:hAnsi="Times New Roman"/>
          <w:noProof w:val="0"/>
          <w:sz w:val="24"/>
        </w:rPr>
        <w:t>;</w:t>
      </w:r>
    </w:p>
    <w:p w14:paraId="4BF878E6" w14:textId="77777777" w:rsidR="00F02147" w:rsidRPr="00441E95" w:rsidRDefault="00F02147" w:rsidP="001A2AFF">
      <w:pPr>
        <w:numPr>
          <w:ilvl w:val="0"/>
          <w:numId w:val="3"/>
        </w:numPr>
        <w:spacing w:before="0"/>
        <w:ind w:left="567" w:hanging="567"/>
        <w:rPr>
          <w:rFonts w:ascii="Times New Roman" w:hAnsi="Times New Roman"/>
          <w:noProof w:val="0"/>
          <w:sz w:val="24"/>
        </w:rPr>
      </w:pPr>
      <w:r w:rsidRPr="00441E95">
        <w:rPr>
          <w:rFonts w:ascii="Times New Roman" w:hAnsi="Times New Roman"/>
          <w:noProof w:val="0"/>
          <w:sz w:val="24"/>
        </w:rPr>
        <w:t xml:space="preserve">Direktiva 2014/24/EU Europskog parlamenta i Vijeća od 26. veljače 2014. o javnoj nabavi i o stavljanju izvan snage Direktive 2004/18/EZ (Tekst značajan za EGP) (Direktiva 2014/24/EU); </w:t>
      </w:r>
      <w:r w:rsidRPr="00441E95">
        <w:rPr>
          <w:rFonts w:ascii="Times New Roman" w:eastAsia="Arial" w:hAnsi="Times New Roman"/>
          <w:noProof w:val="0"/>
          <w:sz w:val="24"/>
          <w:lang w:eastAsia="zh-CN"/>
        </w:rPr>
        <w:t>SL L 94/65, 28.03.2014.</w:t>
      </w:r>
      <w:r w:rsidR="00A1425F" w:rsidRPr="00441E95">
        <w:rPr>
          <w:rFonts w:ascii="Times New Roman" w:eastAsia="Arial" w:hAnsi="Times New Roman"/>
          <w:noProof w:val="0"/>
          <w:sz w:val="24"/>
          <w:lang w:eastAsia="zh-CN"/>
        </w:rPr>
        <w:t>;</w:t>
      </w:r>
    </w:p>
    <w:p w14:paraId="1642E713" w14:textId="77777777" w:rsidR="00F02147" w:rsidRPr="00441E95" w:rsidRDefault="00F02147" w:rsidP="001A2AFF">
      <w:pPr>
        <w:numPr>
          <w:ilvl w:val="0"/>
          <w:numId w:val="3"/>
        </w:numPr>
        <w:spacing w:before="0"/>
        <w:ind w:left="567" w:hanging="567"/>
        <w:rPr>
          <w:rFonts w:ascii="Times New Roman" w:hAnsi="Times New Roman"/>
          <w:noProof w:val="0"/>
          <w:sz w:val="24"/>
        </w:rPr>
      </w:pPr>
      <w:r w:rsidRPr="00441E95">
        <w:rPr>
          <w:rFonts w:ascii="Times New Roman" w:hAnsi="Times New Roman"/>
          <w:noProof w:val="0"/>
          <w:sz w:val="24"/>
        </w:rPr>
        <w:t>Provedbena uredba Komisije (EU) br. 964/2014 оd 11. rujna 2014. o utvrđivanju pravila za primjenu Uredbe (EU) br. 1303/2013 Europskog parlamenta i Vijeća u pogledu standardnih uvjeta koji se odnose na financijske instrumente (Provedbena uredba Komisije (EU) br. 964/2014);</w:t>
      </w:r>
      <w:r w:rsidR="00A1425F" w:rsidRPr="00441E95">
        <w:rPr>
          <w:rFonts w:ascii="Times New Roman" w:hAnsi="Times New Roman"/>
          <w:noProof w:val="0"/>
          <w:sz w:val="24"/>
        </w:rPr>
        <w:t xml:space="preserve"> </w:t>
      </w:r>
      <w:r w:rsidRPr="00441E95">
        <w:rPr>
          <w:rFonts w:ascii="Times New Roman" w:eastAsia="Arial" w:hAnsi="Times New Roman"/>
          <w:noProof w:val="0"/>
          <w:sz w:val="24"/>
        </w:rPr>
        <w:t>SL L 271/16, 12.09.2014.</w:t>
      </w:r>
      <w:r w:rsidR="00A1425F" w:rsidRPr="00441E95">
        <w:rPr>
          <w:rFonts w:ascii="Times New Roman" w:eastAsia="Arial" w:hAnsi="Times New Roman"/>
          <w:noProof w:val="0"/>
          <w:sz w:val="24"/>
        </w:rPr>
        <w:t>;</w:t>
      </w:r>
    </w:p>
    <w:p w14:paraId="6669CCC0" w14:textId="77777777" w:rsidR="00C31C88" w:rsidRPr="00441E95" w:rsidRDefault="00F02147" w:rsidP="001A2AFF">
      <w:pPr>
        <w:numPr>
          <w:ilvl w:val="0"/>
          <w:numId w:val="3"/>
        </w:numPr>
        <w:spacing w:before="0"/>
        <w:ind w:left="567" w:hanging="567"/>
        <w:rPr>
          <w:rFonts w:ascii="Times New Roman" w:hAnsi="Times New Roman"/>
          <w:noProof w:val="0"/>
          <w:sz w:val="24"/>
        </w:rPr>
      </w:pPr>
      <w:r w:rsidRPr="00441E95">
        <w:rPr>
          <w:rFonts w:ascii="Times New Roman" w:hAnsi="Times New Roman"/>
          <w:noProof w:val="0"/>
          <w:sz w:val="24"/>
        </w:rPr>
        <w:t>Provedbena uredba Komisije (EU) br. 1011/2014 оd 22. rujna 2014.</w:t>
      </w:r>
      <w:r w:rsidR="00A1425F" w:rsidRPr="00441E95">
        <w:rPr>
          <w:rFonts w:ascii="Times New Roman" w:hAnsi="Times New Roman"/>
          <w:noProof w:val="0"/>
          <w:sz w:val="24"/>
        </w:rPr>
        <w:t xml:space="preserve"> </w:t>
      </w:r>
      <w:r w:rsidRPr="00441E95">
        <w:rPr>
          <w:rFonts w:ascii="Times New Roman" w:hAnsi="Times New Roman"/>
          <w:noProof w:val="0"/>
          <w:sz w:val="24"/>
        </w:rPr>
        <w:t>o utvrđivanju detaljnih pravila za provedbu Uredbe (EU) br.1303/2013 Europskog parlamenta i Vijeća u pogledu modela za dostavljanje određenih informacija Komisiji i detaljnih pravila o razmjenama informacija između korisnika i upravljačkih tijela, tijela za ovjeravanje, tijela za reviziju i posredničkih tijela (Provedbena uredba Komisije (EU) br. 1011/2014); SL L 286/1, 30.09.2014.</w:t>
      </w:r>
      <w:r w:rsidR="00A1425F" w:rsidRPr="00441E95">
        <w:rPr>
          <w:rFonts w:ascii="Times New Roman" w:hAnsi="Times New Roman"/>
          <w:noProof w:val="0"/>
          <w:sz w:val="24"/>
        </w:rPr>
        <w:t>;</w:t>
      </w:r>
      <w:r w:rsidR="000A631C" w:rsidRPr="00441E95" w:rsidDel="000A631C">
        <w:rPr>
          <w:noProof w:val="0"/>
        </w:rPr>
        <w:t xml:space="preserve"> </w:t>
      </w:r>
    </w:p>
    <w:p w14:paraId="1FA77D60" w14:textId="7D4EA268" w:rsidR="00F02147" w:rsidRPr="00441E95" w:rsidRDefault="00F02147" w:rsidP="001A2AFF">
      <w:pPr>
        <w:numPr>
          <w:ilvl w:val="0"/>
          <w:numId w:val="3"/>
        </w:numPr>
        <w:spacing w:before="0"/>
        <w:ind w:left="567" w:hanging="567"/>
        <w:rPr>
          <w:rStyle w:val="Hyperlink"/>
          <w:rFonts w:ascii="Times New Roman" w:hAnsi="Times New Roman"/>
          <w:noProof w:val="0"/>
          <w:color w:val="auto"/>
          <w:sz w:val="24"/>
          <w:u w:val="none"/>
        </w:rPr>
      </w:pPr>
      <w:r w:rsidRPr="00441E95">
        <w:rPr>
          <w:rStyle w:val="Hyperlink"/>
          <w:rFonts w:ascii="Times New Roman" w:hAnsi="Times New Roman"/>
          <w:noProof w:val="0"/>
          <w:color w:val="auto"/>
          <w:sz w:val="24"/>
          <w:u w:val="none"/>
        </w:rPr>
        <w:t>Preporuka Komisije od 6</w:t>
      </w:r>
      <w:r w:rsidR="00922719" w:rsidRPr="00441E95">
        <w:rPr>
          <w:rStyle w:val="Hyperlink"/>
          <w:rFonts w:ascii="Times New Roman" w:hAnsi="Times New Roman"/>
          <w:noProof w:val="0"/>
          <w:color w:val="auto"/>
          <w:sz w:val="24"/>
          <w:u w:val="none"/>
        </w:rPr>
        <w:t>.</w:t>
      </w:r>
      <w:r w:rsidRPr="00441E95">
        <w:rPr>
          <w:rStyle w:val="Hyperlink"/>
          <w:rFonts w:ascii="Times New Roman" w:hAnsi="Times New Roman"/>
          <w:noProof w:val="0"/>
          <w:color w:val="auto"/>
          <w:sz w:val="24"/>
          <w:u w:val="none"/>
        </w:rPr>
        <w:t xml:space="preserve"> svibnja 2003. godine (2003/361/EC) koja se odnosi na definiranje mikropoduzeća, malih i srednjih poduzeća i Radni dokument službi Komisije o implementaciji Preporuke Komisije od 6. svibnja 2003. godine koja se odnosi na definiranje mikropoduzeća, malih i srednjih poduzeća, Bruxelles, 7. listopada 2009</w:t>
      </w:r>
      <w:r w:rsidR="00922719" w:rsidRPr="00441E95">
        <w:rPr>
          <w:rStyle w:val="Hyperlink"/>
          <w:rFonts w:ascii="Times New Roman" w:hAnsi="Times New Roman"/>
          <w:noProof w:val="0"/>
          <w:color w:val="auto"/>
          <w:sz w:val="24"/>
          <w:u w:val="none"/>
        </w:rPr>
        <w:t>.</w:t>
      </w:r>
      <w:r w:rsidRPr="00441E95">
        <w:rPr>
          <w:rStyle w:val="Hyperlink"/>
          <w:rFonts w:ascii="Times New Roman" w:hAnsi="Times New Roman"/>
          <w:noProof w:val="0"/>
          <w:color w:val="auto"/>
          <w:sz w:val="24"/>
          <w:u w:val="none"/>
        </w:rPr>
        <w:t xml:space="preserve"> SEC(2009) 1350 final (Preporuka Komisije 2003/361/EC</w:t>
      </w:r>
      <w:r w:rsidR="000A631C" w:rsidRPr="00441E95">
        <w:rPr>
          <w:rStyle w:val="Hyperlink"/>
          <w:rFonts w:ascii="Times New Roman" w:hAnsi="Times New Roman"/>
          <w:noProof w:val="0"/>
          <w:color w:val="auto"/>
          <w:sz w:val="24"/>
          <w:u w:val="none"/>
        </w:rPr>
        <w:t>);</w:t>
      </w:r>
    </w:p>
    <w:p w14:paraId="77818B90" w14:textId="0F40201B" w:rsidR="00B82004" w:rsidRPr="00441E95" w:rsidRDefault="00B82004" w:rsidP="001A2AFF">
      <w:pPr>
        <w:numPr>
          <w:ilvl w:val="0"/>
          <w:numId w:val="3"/>
        </w:numPr>
        <w:spacing w:before="0"/>
        <w:ind w:left="567" w:hanging="567"/>
        <w:rPr>
          <w:rFonts w:ascii="Times New Roman" w:eastAsia="Tahoma" w:hAnsi="Times New Roman"/>
          <w:noProof w:val="0"/>
          <w:sz w:val="24"/>
        </w:rPr>
      </w:pPr>
      <w:r w:rsidRPr="00441E95">
        <w:rPr>
          <w:rFonts w:ascii="Times New Roman" w:hAnsi="Times New Roman"/>
          <w:noProof w:val="0"/>
          <w:sz w:val="24"/>
        </w:rPr>
        <w:t xml:space="preserve">Delegirana uredba Komisije (EU) br. 480/2014 оd 3. ožujka 2014. o dopuni Uredbe (EU) br. 1303/2013 Europskog parlamenta i Vijeća o utvrđivanju zajedničkih odredbi Europskog fonda za regionalni razvoj, Europskog socijalnog fonda, Kohezijskog fonda, Europskog poljoprivrednog fonda za ruralni razvoj i Europskog fonda za pomorstvo i ribarstvo te o utvrđivanju općih odredbi Europskog fonda za regionalni razvoj, Europskog socijalnog fonda, Kohezijskog fonda i Europskog fonda za pomorstvo i ribarstvo (Delegirana uredba Komisije (EU) br. 480/2014); </w:t>
      </w:r>
      <w:r w:rsidRPr="00441E95">
        <w:rPr>
          <w:rFonts w:ascii="Times New Roman" w:eastAsia="Arial" w:hAnsi="Times New Roman"/>
          <w:noProof w:val="0"/>
          <w:sz w:val="24"/>
        </w:rPr>
        <w:t>SL L 138/5, 13.05.2014.</w:t>
      </w:r>
      <w:r w:rsidR="00662650" w:rsidRPr="00441E95">
        <w:rPr>
          <w:rFonts w:ascii="Times New Roman" w:eastAsia="Arial" w:hAnsi="Times New Roman"/>
          <w:noProof w:val="0"/>
          <w:sz w:val="24"/>
        </w:rPr>
        <w:t>;</w:t>
      </w:r>
    </w:p>
    <w:p w14:paraId="3FD3FC4A" w14:textId="77777777" w:rsidR="009103DA" w:rsidRPr="00441E95" w:rsidRDefault="009103DA" w:rsidP="001A2AFF">
      <w:pPr>
        <w:numPr>
          <w:ilvl w:val="0"/>
          <w:numId w:val="3"/>
        </w:numPr>
        <w:spacing w:before="0"/>
        <w:ind w:left="567" w:hanging="567"/>
        <w:rPr>
          <w:rFonts w:ascii="Times New Roman" w:eastAsia="Tahoma" w:hAnsi="Times New Roman"/>
          <w:noProof w:val="0"/>
          <w:sz w:val="24"/>
        </w:rPr>
      </w:pPr>
      <w:r w:rsidRPr="00441E95">
        <w:rPr>
          <w:rFonts w:ascii="Times New Roman" w:eastAsia="Tahoma" w:hAnsi="Times New Roman"/>
          <w:noProof w:val="0"/>
          <w:sz w:val="24"/>
        </w:rPr>
        <w:t>Uredba (EU, Euratom) 2018/1046 Europskog parlamenta i Vijeća od 18. srpnja 2018. o financijskim pravilima koja se primjenjuju na opći proračun Unije, o izmjeni uredaba (EU) br. 1296/2013, (EU) br. 1301/2013, (EU) br. 1303/2013, (EU) br. 1304/2013, (EU) br. 1309/2013, (EU) br. 1316/2013, (EU) br. 223/2014, (EU) br. 283/2014 i Odluke br. 541/2014/EU te o stavljanju izvan snage Uredbe (EU, Euratom) br. 966/2012; SL L 193/1, 30.07.2018.</w:t>
      </w:r>
    </w:p>
    <w:p w14:paraId="428268CB" w14:textId="77777777" w:rsidR="00B9191B" w:rsidRPr="00441E95" w:rsidRDefault="00B9191B" w:rsidP="006957C1">
      <w:pPr>
        <w:tabs>
          <w:tab w:val="clear" w:pos="2160"/>
        </w:tabs>
        <w:spacing w:before="0"/>
        <w:ind w:left="0" w:firstLine="0"/>
        <w:rPr>
          <w:rStyle w:val="Hyperlink"/>
          <w:rFonts w:ascii="Times New Roman" w:hAnsi="Times New Roman"/>
          <w:noProof w:val="0"/>
          <w:color w:val="auto"/>
          <w:sz w:val="24"/>
          <w:u w:val="none"/>
        </w:rPr>
      </w:pPr>
    </w:p>
    <w:p w14:paraId="1FFAF948" w14:textId="77777777" w:rsidR="00C27605" w:rsidRPr="00441E95" w:rsidRDefault="00C27605" w:rsidP="001A2AFF">
      <w:pPr>
        <w:tabs>
          <w:tab w:val="clear" w:pos="2160"/>
        </w:tabs>
        <w:spacing w:before="0"/>
        <w:ind w:left="0" w:firstLine="0"/>
        <w:rPr>
          <w:rStyle w:val="Hyperlink"/>
          <w:rFonts w:ascii="Times New Roman" w:hAnsi="Times New Roman"/>
          <w:noProof w:val="0"/>
          <w:color w:val="auto"/>
          <w:sz w:val="24"/>
          <w:u w:val="none"/>
        </w:rPr>
      </w:pPr>
    </w:p>
    <w:p w14:paraId="7A3A0835" w14:textId="77777777" w:rsidR="00822E10" w:rsidRPr="00441E95" w:rsidRDefault="0041630E" w:rsidP="00EA6306">
      <w:pPr>
        <w:pStyle w:val="Arial105ptbefore"/>
        <w:numPr>
          <w:ilvl w:val="1"/>
          <w:numId w:val="7"/>
        </w:numPr>
        <w:spacing w:before="0"/>
        <w:jc w:val="both"/>
        <w:rPr>
          <w:rFonts w:ascii="Times New Roman" w:hAnsi="Times New Roman"/>
          <w:b/>
          <w:noProof w:val="0"/>
          <w:sz w:val="24"/>
          <w:szCs w:val="24"/>
          <w:lang w:val="hr-HR"/>
        </w:rPr>
      </w:pPr>
      <w:r w:rsidRPr="00441E95">
        <w:rPr>
          <w:rFonts w:ascii="Times New Roman" w:hAnsi="Times New Roman"/>
          <w:b/>
          <w:noProof w:val="0"/>
          <w:sz w:val="24"/>
          <w:szCs w:val="24"/>
          <w:lang w:val="hr-HR"/>
        </w:rPr>
        <w:t>Nacionaln</w:t>
      </w:r>
      <w:r w:rsidR="00E07CF5" w:rsidRPr="00441E95">
        <w:rPr>
          <w:rFonts w:ascii="Times New Roman" w:hAnsi="Times New Roman"/>
          <w:b/>
          <w:noProof w:val="0"/>
          <w:sz w:val="24"/>
          <w:szCs w:val="24"/>
          <w:lang w:val="hr-HR"/>
        </w:rPr>
        <w:t>i</w:t>
      </w:r>
      <w:r w:rsidRPr="00441E95">
        <w:rPr>
          <w:rFonts w:ascii="Times New Roman" w:hAnsi="Times New Roman"/>
          <w:b/>
          <w:noProof w:val="0"/>
          <w:sz w:val="24"/>
          <w:szCs w:val="24"/>
          <w:lang w:val="hr-HR"/>
        </w:rPr>
        <w:t xml:space="preserve"> pravn</w:t>
      </w:r>
      <w:r w:rsidR="00E07CF5" w:rsidRPr="00441E95">
        <w:rPr>
          <w:rFonts w:ascii="Times New Roman" w:hAnsi="Times New Roman"/>
          <w:b/>
          <w:noProof w:val="0"/>
          <w:sz w:val="24"/>
          <w:szCs w:val="24"/>
          <w:lang w:val="hr-HR"/>
        </w:rPr>
        <w:t>i</w:t>
      </w:r>
      <w:r w:rsidRPr="00441E95">
        <w:rPr>
          <w:rFonts w:ascii="Times New Roman" w:hAnsi="Times New Roman"/>
          <w:b/>
          <w:noProof w:val="0"/>
          <w:sz w:val="24"/>
          <w:szCs w:val="24"/>
          <w:lang w:val="hr-HR"/>
        </w:rPr>
        <w:t xml:space="preserve"> </w:t>
      </w:r>
      <w:r w:rsidR="00E07CF5" w:rsidRPr="00441E95">
        <w:rPr>
          <w:rFonts w:ascii="Times New Roman" w:hAnsi="Times New Roman"/>
          <w:b/>
          <w:noProof w:val="0"/>
          <w:sz w:val="24"/>
          <w:szCs w:val="24"/>
          <w:lang w:val="hr-HR"/>
        </w:rPr>
        <w:t>okvir</w:t>
      </w:r>
    </w:p>
    <w:p w14:paraId="1F59DD48" w14:textId="77777777" w:rsidR="00E07CF5" w:rsidRPr="00441E95" w:rsidRDefault="00E07CF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</w:rPr>
      </w:pPr>
    </w:p>
    <w:p w14:paraId="558AC8BB" w14:textId="02BED4A4" w:rsidR="00E07CF5" w:rsidRPr="00441E95" w:rsidRDefault="00E07CF5" w:rsidP="001D5402">
      <w:pPr>
        <w:numPr>
          <w:ilvl w:val="0"/>
          <w:numId w:val="23"/>
        </w:numPr>
        <w:spacing w:before="0"/>
        <w:ind w:left="567"/>
        <w:rPr>
          <w:rFonts w:ascii="Times New Roman" w:eastAsia="Tahoma" w:hAnsi="Times New Roman"/>
          <w:noProof w:val="0"/>
          <w:sz w:val="24"/>
        </w:rPr>
      </w:pPr>
      <w:r w:rsidRPr="00441E95">
        <w:rPr>
          <w:rFonts w:ascii="Times New Roman" w:eastAsia="Tahoma" w:hAnsi="Times New Roman"/>
          <w:noProof w:val="0"/>
          <w:sz w:val="24"/>
        </w:rPr>
        <w:lastRenderedPageBreak/>
        <w:t xml:space="preserve">Operativni program </w:t>
      </w:r>
      <w:r w:rsidR="00662650" w:rsidRPr="00441E95">
        <w:rPr>
          <w:rFonts w:ascii="Times New Roman" w:eastAsia="Tahoma" w:hAnsi="Times New Roman"/>
          <w:noProof w:val="0"/>
          <w:sz w:val="24"/>
        </w:rPr>
        <w:t>„</w:t>
      </w:r>
      <w:r w:rsidRPr="00441E95">
        <w:rPr>
          <w:rFonts w:ascii="Times New Roman" w:eastAsia="Tahoma" w:hAnsi="Times New Roman"/>
          <w:noProof w:val="0"/>
          <w:sz w:val="24"/>
        </w:rPr>
        <w:t>Konkurentnost i kohezija 2014.-2020</w:t>
      </w:r>
      <w:r w:rsidR="00662650" w:rsidRPr="00441E95">
        <w:rPr>
          <w:rFonts w:ascii="Times New Roman" w:eastAsia="Tahoma" w:hAnsi="Times New Roman"/>
          <w:noProof w:val="0"/>
          <w:sz w:val="24"/>
        </w:rPr>
        <w:t xml:space="preserve">.“, </w:t>
      </w:r>
      <w:r w:rsidRPr="00441E95">
        <w:rPr>
          <w:rFonts w:ascii="Times New Roman" w:eastAsia="Tahoma" w:hAnsi="Times New Roman"/>
          <w:noProof w:val="0"/>
          <w:sz w:val="24"/>
        </w:rPr>
        <w:t>Republika Hrvatska CCI 2014HR16M1OP001 (OPKK)</w:t>
      </w:r>
      <w:r w:rsidR="007823C4" w:rsidRPr="00441E95">
        <w:rPr>
          <w:rFonts w:ascii="Times New Roman" w:eastAsia="Tahoma" w:hAnsi="Times New Roman"/>
          <w:noProof w:val="0"/>
          <w:sz w:val="24"/>
        </w:rPr>
        <w:t>;</w:t>
      </w:r>
    </w:p>
    <w:p w14:paraId="484382E7" w14:textId="77777777" w:rsidR="00E4170D" w:rsidRPr="00441E95" w:rsidRDefault="007823C4" w:rsidP="001D5402">
      <w:pPr>
        <w:numPr>
          <w:ilvl w:val="0"/>
          <w:numId w:val="23"/>
        </w:numPr>
        <w:spacing w:before="0"/>
        <w:ind w:left="567"/>
        <w:rPr>
          <w:rFonts w:ascii="Times New Roman" w:eastAsia="Tahoma" w:hAnsi="Times New Roman"/>
          <w:noProof w:val="0"/>
          <w:sz w:val="24"/>
        </w:rPr>
      </w:pPr>
      <w:r w:rsidRPr="00441E95">
        <w:rPr>
          <w:rFonts w:ascii="Times New Roman" w:eastAsia="Tahoma" w:hAnsi="Times New Roman"/>
          <w:noProof w:val="0"/>
          <w:sz w:val="24"/>
        </w:rPr>
        <w:t xml:space="preserve">Prema </w:t>
      </w:r>
      <w:r w:rsidR="0036646E" w:rsidRPr="00441E95">
        <w:rPr>
          <w:rFonts w:ascii="Times New Roman" w:eastAsia="Tahoma" w:hAnsi="Times New Roman"/>
          <w:noProof w:val="0"/>
          <w:sz w:val="24"/>
        </w:rPr>
        <w:t>p</w:t>
      </w:r>
      <w:r w:rsidRPr="00441E95">
        <w:rPr>
          <w:rFonts w:ascii="Times New Roman" w:eastAsia="Tahoma" w:hAnsi="Times New Roman"/>
          <w:noProof w:val="0"/>
          <w:sz w:val="24"/>
        </w:rPr>
        <w:t xml:space="preserve">otrebi </w:t>
      </w:r>
      <w:r w:rsidR="009F361E" w:rsidRPr="00441E95">
        <w:rPr>
          <w:rFonts w:ascii="Times New Roman" w:eastAsia="Tahoma" w:hAnsi="Times New Roman"/>
          <w:noProof w:val="0"/>
          <w:sz w:val="24"/>
        </w:rPr>
        <w:t xml:space="preserve">pravila </w:t>
      </w:r>
      <w:r w:rsidRPr="00441E95">
        <w:rPr>
          <w:rFonts w:ascii="Times New Roman" w:eastAsia="Tahoma" w:hAnsi="Times New Roman"/>
          <w:noProof w:val="0"/>
          <w:sz w:val="24"/>
        </w:rPr>
        <w:t xml:space="preserve">iz </w:t>
      </w:r>
      <w:r w:rsidR="00E07CF5" w:rsidRPr="00441E95">
        <w:rPr>
          <w:rFonts w:ascii="Times New Roman" w:eastAsia="Tahoma" w:hAnsi="Times New Roman"/>
          <w:noProof w:val="0"/>
          <w:sz w:val="24"/>
        </w:rPr>
        <w:t>ZNP-</w:t>
      </w:r>
      <w:r w:rsidR="001F78A2" w:rsidRPr="00441E95">
        <w:rPr>
          <w:rFonts w:ascii="Times New Roman" w:eastAsia="Tahoma" w:hAnsi="Times New Roman"/>
          <w:noProof w:val="0"/>
          <w:sz w:val="24"/>
        </w:rPr>
        <w:t>a</w:t>
      </w:r>
      <w:r w:rsidRPr="00441E95">
        <w:rPr>
          <w:rFonts w:ascii="Times New Roman" w:eastAsia="Tahoma" w:hAnsi="Times New Roman"/>
          <w:noProof w:val="0"/>
          <w:sz w:val="24"/>
        </w:rPr>
        <w:t>.</w:t>
      </w:r>
    </w:p>
    <w:p w14:paraId="6101B102" w14:textId="77777777" w:rsidR="0041630E" w:rsidRPr="00441E95" w:rsidRDefault="0041630E" w:rsidP="006957C1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</w:rPr>
      </w:pPr>
    </w:p>
    <w:p w14:paraId="18F07272" w14:textId="24BEECD1" w:rsidR="00730726" w:rsidRPr="00441E95" w:rsidRDefault="00730726" w:rsidP="006957C1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</w:rPr>
      </w:pPr>
    </w:p>
    <w:p w14:paraId="5B633549" w14:textId="1F95DAC3" w:rsidR="006B2883" w:rsidRPr="00441E95" w:rsidRDefault="00E65A77" w:rsidP="00FD3C33">
      <w:pPr>
        <w:tabs>
          <w:tab w:val="clear" w:pos="2160"/>
        </w:tabs>
        <w:spacing w:before="0"/>
        <w:ind w:left="0" w:firstLine="0"/>
        <w:jc w:val="left"/>
        <w:rPr>
          <w:rFonts w:ascii="Times New Roman" w:hAnsi="Times New Roman"/>
          <w:b/>
          <w:noProof w:val="0"/>
          <w:sz w:val="24"/>
        </w:rPr>
      </w:pPr>
      <w:r w:rsidRPr="00441E95">
        <w:rPr>
          <w:rFonts w:ascii="Times New Roman" w:hAnsi="Times New Roman"/>
          <w:b/>
          <w:noProof w:val="0"/>
          <w:sz w:val="24"/>
        </w:rPr>
        <w:br w:type="page"/>
      </w:r>
      <w:r w:rsidR="006B2883" w:rsidRPr="00441E95">
        <w:rPr>
          <w:rFonts w:ascii="Times New Roman" w:hAnsi="Times New Roman"/>
          <w:b/>
          <w:noProof w:val="0"/>
          <w:sz w:val="24"/>
        </w:rPr>
        <w:lastRenderedPageBreak/>
        <w:t xml:space="preserve">3.3. </w:t>
      </w:r>
      <w:r w:rsidR="0041630E" w:rsidRPr="00441E95">
        <w:rPr>
          <w:rFonts w:ascii="Times New Roman" w:hAnsi="Times New Roman"/>
          <w:b/>
          <w:noProof w:val="0"/>
          <w:sz w:val="24"/>
        </w:rPr>
        <w:t xml:space="preserve">Pravno neobvezujući dokumenti </w:t>
      </w:r>
      <w:r w:rsidR="00E07CF5" w:rsidRPr="00441E95">
        <w:rPr>
          <w:rFonts w:ascii="Times New Roman" w:hAnsi="Times New Roman"/>
          <w:b/>
          <w:noProof w:val="0"/>
          <w:sz w:val="24"/>
        </w:rPr>
        <w:t>EU</w:t>
      </w:r>
      <w:r w:rsidR="0041630E" w:rsidRPr="00441E95">
        <w:rPr>
          <w:rFonts w:ascii="Times New Roman" w:hAnsi="Times New Roman"/>
          <w:b/>
          <w:noProof w:val="0"/>
          <w:sz w:val="24"/>
        </w:rPr>
        <w:t xml:space="preserve"> kojima </w:t>
      </w:r>
      <w:r w:rsidR="00E07CF5" w:rsidRPr="00441E95">
        <w:rPr>
          <w:rFonts w:ascii="Times New Roman" w:hAnsi="Times New Roman"/>
          <w:b/>
          <w:noProof w:val="0"/>
          <w:sz w:val="24"/>
        </w:rPr>
        <w:t xml:space="preserve">se </w:t>
      </w:r>
      <w:r w:rsidR="0041630E" w:rsidRPr="00441E95">
        <w:rPr>
          <w:rFonts w:ascii="Times New Roman" w:hAnsi="Times New Roman"/>
          <w:b/>
          <w:noProof w:val="0"/>
          <w:sz w:val="24"/>
        </w:rPr>
        <w:t>tumač</w:t>
      </w:r>
      <w:r w:rsidR="00E07CF5" w:rsidRPr="00441E95">
        <w:rPr>
          <w:rFonts w:ascii="Times New Roman" w:hAnsi="Times New Roman"/>
          <w:b/>
          <w:noProof w:val="0"/>
          <w:sz w:val="24"/>
        </w:rPr>
        <w:t>i</w:t>
      </w:r>
      <w:r w:rsidR="0041630E" w:rsidRPr="00441E95">
        <w:rPr>
          <w:rFonts w:ascii="Times New Roman" w:hAnsi="Times New Roman"/>
          <w:b/>
          <w:noProof w:val="0"/>
          <w:sz w:val="24"/>
        </w:rPr>
        <w:t xml:space="preserve"> primjen</w:t>
      </w:r>
      <w:r w:rsidR="00E07CF5" w:rsidRPr="00441E95">
        <w:rPr>
          <w:rFonts w:ascii="Times New Roman" w:hAnsi="Times New Roman"/>
          <w:b/>
          <w:noProof w:val="0"/>
          <w:sz w:val="24"/>
        </w:rPr>
        <w:t>a</w:t>
      </w:r>
      <w:r w:rsidR="0041630E" w:rsidRPr="00441E95">
        <w:rPr>
          <w:rFonts w:ascii="Times New Roman" w:hAnsi="Times New Roman"/>
          <w:b/>
          <w:noProof w:val="0"/>
          <w:sz w:val="24"/>
        </w:rPr>
        <w:t xml:space="preserve"> EU pravn</w:t>
      </w:r>
      <w:r w:rsidR="00E07CF5" w:rsidRPr="00441E95">
        <w:rPr>
          <w:rFonts w:ascii="Times New Roman" w:hAnsi="Times New Roman"/>
          <w:b/>
          <w:noProof w:val="0"/>
          <w:sz w:val="24"/>
        </w:rPr>
        <w:t>og okvira</w:t>
      </w:r>
    </w:p>
    <w:p w14:paraId="0800225E" w14:textId="77777777" w:rsidR="00730726" w:rsidRPr="00441E95" w:rsidRDefault="00730726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b/>
          <w:noProof w:val="0"/>
          <w:sz w:val="24"/>
        </w:rPr>
      </w:pPr>
    </w:p>
    <w:p w14:paraId="08331265" w14:textId="77777777" w:rsidR="00F02147" w:rsidRPr="00441E95" w:rsidRDefault="00740FFA" w:rsidP="001D5402">
      <w:pPr>
        <w:numPr>
          <w:ilvl w:val="0"/>
          <w:numId w:val="24"/>
        </w:numPr>
        <w:spacing w:before="0"/>
        <w:ind w:left="567"/>
        <w:rPr>
          <w:rFonts w:ascii="Times New Roman" w:eastAsia="Tahoma" w:hAnsi="Times New Roman"/>
          <w:noProof w:val="0"/>
          <w:sz w:val="24"/>
        </w:rPr>
      </w:pPr>
      <w:r w:rsidRPr="00441E95">
        <w:rPr>
          <w:rFonts w:ascii="Times New Roman" w:eastAsia="Tahoma" w:hAnsi="Times New Roman"/>
          <w:noProof w:val="0"/>
          <w:sz w:val="24"/>
        </w:rPr>
        <w:t xml:space="preserve">Obavijest Komisije </w:t>
      </w:r>
      <w:r w:rsidR="00F02147" w:rsidRPr="00441E95">
        <w:rPr>
          <w:rFonts w:ascii="Times New Roman" w:eastAsia="Tahoma" w:hAnsi="Times New Roman"/>
          <w:noProof w:val="0"/>
          <w:sz w:val="24"/>
        </w:rPr>
        <w:t xml:space="preserve"> </w:t>
      </w:r>
      <w:r w:rsidR="00F02147" w:rsidRPr="00441E95">
        <w:rPr>
          <w:rFonts w:ascii="Times New Roman" w:eastAsia="Tahoma" w:hAnsi="Times New Roman"/>
          <w:noProof w:val="0"/>
          <w:sz w:val="24"/>
        </w:rPr>
        <w:sym w:font="Symbol" w:char="F02D"/>
      </w:r>
      <w:r w:rsidR="00F02147" w:rsidRPr="00441E95">
        <w:rPr>
          <w:rFonts w:ascii="Times New Roman" w:eastAsia="Tahoma" w:hAnsi="Times New Roman"/>
          <w:noProof w:val="0"/>
          <w:sz w:val="24"/>
        </w:rPr>
        <w:t xml:space="preserve"> Smjernica za države članice </w:t>
      </w:r>
      <w:r w:rsidRPr="00441E95">
        <w:rPr>
          <w:rFonts w:ascii="Times New Roman" w:eastAsia="Tahoma" w:hAnsi="Times New Roman"/>
          <w:noProof w:val="0"/>
          <w:sz w:val="24"/>
        </w:rPr>
        <w:t>o</w:t>
      </w:r>
      <w:r w:rsidR="00F02147" w:rsidRPr="00441E95">
        <w:rPr>
          <w:rFonts w:ascii="Times New Roman" w:eastAsia="Tahoma" w:hAnsi="Times New Roman"/>
          <w:noProof w:val="0"/>
          <w:sz w:val="24"/>
        </w:rPr>
        <w:t xml:space="preserve"> odabir</w:t>
      </w:r>
      <w:r w:rsidRPr="00441E95">
        <w:rPr>
          <w:rFonts w:ascii="Times New Roman" w:eastAsia="Tahoma" w:hAnsi="Times New Roman"/>
          <w:noProof w:val="0"/>
          <w:sz w:val="24"/>
        </w:rPr>
        <w:t>u</w:t>
      </w:r>
      <w:r w:rsidR="00F02147" w:rsidRPr="00441E95">
        <w:rPr>
          <w:rFonts w:ascii="Times New Roman" w:eastAsia="Tahoma" w:hAnsi="Times New Roman"/>
          <w:noProof w:val="0"/>
          <w:sz w:val="24"/>
        </w:rPr>
        <w:t xml:space="preserve"> tijela koje provode FI</w:t>
      </w:r>
      <w:r w:rsidR="002612C9" w:rsidRPr="00441E95" w:rsidDel="002612C9">
        <w:rPr>
          <w:rFonts w:ascii="Times New Roman" w:eastAsia="Tahoma" w:hAnsi="Times New Roman"/>
          <w:noProof w:val="0"/>
          <w:sz w:val="24"/>
        </w:rPr>
        <w:t xml:space="preserve"> </w:t>
      </w:r>
      <w:r w:rsidRPr="00441E95">
        <w:rPr>
          <w:rFonts w:ascii="Times New Roman" w:eastAsia="Tahoma" w:hAnsi="Times New Roman"/>
          <w:noProof w:val="0"/>
          <w:sz w:val="24"/>
        </w:rPr>
        <w:t>(2016/C 276/01)</w:t>
      </w:r>
      <w:r w:rsidR="00F02147" w:rsidRPr="00441E95">
        <w:rPr>
          <w:rFonts w:eastAsia="Tahoma"/>
          <w:noProof w:val="0"/>
          <w:vertAlign w:val="superscript"/>
        </w:rPr>
        <w:footnoteReference w:id="3"/>
      </w:r>
      <w:r w:rsidR="00B718D3" w:rsidRPr="00441E95">
        <w:rPr>
          <w:rFonts w:ascii="Times New Roman" w:eastAsia="Tahoma" w:hAnsi="Times New Roman"/>
          <w:noProof w:val="0"/>
          <w:sz w:val="24"/>
        </w:rPr>
        <w:t>;</w:t>
      </w:r>
    </w:p>
    <w:p w14:paraId="2A55608B" w14:textId="77777777" w:rsidR="00A62DA4" w:rsidRPr="00441E95" w:rsidRDefault="00F02147" w:rsidP="001D5402">
      <w:pPr>
        <w:numPr>
          <w:ilvl w:val="0"/>
          <w:numId w:val="24"/>
        </w:numPr>
        <w:spacing w:before="0"/>
        <w:ind w:left="567"/>
        <w:rPr>
          <w:rFonts w:ascii="Times New Roman" w:eastAsia="Tahoma" w:hAnsi="Times New Roman"/>
          <w:noProof w:val="0"/>
          <w:sz w:val="24"/>
        </w:rPr>
      </w:pPr>
      <w:r w:rsidRPr="00441E95">
        <w:rPr>
          <w:rFonts w:ascii="Times New Roman" w:eastAsia="Tahoma" w:hAnsi="Times New Roman"/>
          <w:noProof w:val="0"/>
          <w:sz w:val="24"/>
        </w:rPr>
        <w:t xml:space="preserve">Europski strukturni i investicijski fondovi </w:t>
      </w:r>
      <w:r w:rsidRPr="00441E95">
        <w:rPr>
          <w:rFonts w:ascii="Times New Roman" w:eastAsia="Tahoma" w:hAnsi="Times New Roman"/>
          <w:noProof w:val="0"/>
          <w:sz w:val="24"/>
        </w:rPr>
        <w:sym w:font="Symbol" w:char="F02D"/>
      </w:r>
      <w:r w:rsidRPr="00441E95">
        <w:rPr>
          <w:rFonts w:ascii="Times New Roman" w:eastAsia="Tahoma" w:hAnsi="Times New Roman"/>
          <w:noProof w:val="0"/>
          <w:sz w:val="24"/>
        </w:rPr>
        <w:t xml:space="preserve"> Smjernica za države članice za članak 37. stavak 2. CPR </w:t>
      </w:r>
      <w:r w:rsidRPr="00441E95">
        <w:rPr>
          <w:rFonts w:ascii="Times New Roman" w:eastAsia="Tahoma" w:hAnsi="Times New Roman"/>
          <w:noProof w:val="0"/>
          <w:sz w:val="24"/>
        </w:rPr>
        <w:sym w:font="Symbol" w:char="F02D"/>
      </w:r>
      <w:r w:rsidRPr="00441E95">
        <w:rPr>
          <w:rFonts w:ascii="Times New Roman" w:eastAsia="Tahoma" w:hAnsi="Times New Roman"/>
          <w:noProof w:val="0"/>
          <w:sz w:val="24"/>
        </w:rPr>
        <w:t xml:space="preserve"> Ex ante analiza, Europska komisija, EGESIF_14_0039_1 od 11. veljače 2015. godine (na engleskom jeziku)</w:t>
      </w:r>
      <w:r w:rsidRPr="00441E95">
        <w:rPr>
          <w:rFonts w:eastAsia="Tahoma"/>
          <w:noProof w:val="0"/>
          <w:vertAlign w:val="superscript"/>
        </w:rPr>
        <w:footnoteReference w:id="4"/>
      </w:r>
      <w:r w:rsidR="00B718D3" w:rsidRPr="00441E95">
        <w:rPr>
          <w:rFonts w:ascii="Times New Roman" w:eastAsia="Tahoma" w:hAnsi="Times New Roman"/>
          <w:noProof w:val="0"/>
          <w:sz w:val="24"/>
        </w:rPr>
        <w:t>;</w:t>
      </w:r>
    </w:p>
    <w:p w14:paraId="286582A6" w14:textId="77777777" w:rsidR="00A62DA4" w:rsidRPr="00441E95" w:rsidRDefault="00A62DA4" w:rsidP="001D5402">
      <w:pPr>
        <w:numPr>
          <w:ilvl w:val="0"/>
          <w:numId w:val="24"/>
        </w:numPr>
        <w:spacing w:before="0"/>
        <w:ind w:left="567"/>
        <w:rPr>
          <w:rFonts w:ascii="Times New Roman" w:eastAsia="Tahoma" w:hAnsi="Times New Roman"/>
          <w:noProof w:val="0"/>
          <w:sz w:val="24"/>
        </w:rPr>
      </w:pPr>
      <w:r w:rsidRPr="00441E95">
        <w:rPr>
          <w:rFonts w:ascii="Times New Roman" w:eastAsia="Tahoma" w:hAnsi="Times New Roman"/>
          <w:noProof w:val="0"/>
          <w:sz w:val="24"/>
        </w:rPr>
        <w:t>Smjernica EK za države članice o provjerama upravljanja, EGESIF_14-0012_02 final od 17. rujna 2015.)</w:t>
      </w:r>
      <w:r w:rsidR="00D75DDD" w:rsidRPr="00441E95">
        <w:rPr>
          <w:rFonts w:eastAsia="Tahoma"/>
          <w:noProof w:val="0"/>
          <w:vertAlign w:val="superscript"/>
        </w:rPr>
        <w:footnoteReference w:id="5"/>
      </w:r>
      <w:r w:rsidR="00D75DDD" w:rsidRPr="00441E95">
        <w:rPr>
          <w:rFonts w:ascii="Times New Roman" w:eastAsia="Tahoma" w:hAnsi="Times New Roman"/>
          <w:noProof w:val="0"/>
          <w:sz w:val="24"/>
        </w:rPr>
        <w:t>;</w:t>
      </w:r>
    </w:p>
    <w:p w14:paraId="5951DF16" w14:textId="77777777" w:rsidR="00F02147" w:rsidRPr="00441E95" w:rsidRDefault="00F02147" w:rsidP="001D5402">
      <w:pPr>
        <w:numPr>
          <w:ilvl w:val="0"/>
          <w:numId w:val="24"/>
        </w:numPr>
        <w:spacing w:before="0"/>
        <w:ind w:left="567"/>
        <w:rPr>
          <w:rFonts w:ascii="Times New Roman" w:eastAsia="Tahoma" w:hAnsi="Times New Roman"/>
          <w:noProof w:val="0"/>
          <w:sz w:val="24"/>
        </w:rPr>
      </w:pPr>
      <w:r w:rsidRPr="00441E95">
        <w:rPr>
          <w:rFonts w:ascii="Times New Roman" w:eastAsia="Tahoma" w:hAnsi="Times New Roman"/>
          <w:noProof w:val="0"/>
          <w:sz w:val="24"/>
        </w:rPr>
        <w:t xml:space="preserve">Europski strukturni i investicijski fondovi </w:t>
      </w:r>
      <w:r w:rsidRPr="00441E95">
        <w:rPr>
          <w:rFonts w:ascii="Times New Roman" w:eastAsia="Tahoma" w:hAnsi="Times New Roman"/>
          <w:noProof w:val="0"/>
          <w:sz w:val="24"/>
        </w:rPr>
        <w:sym w:font="Symbol" w:char="F02D"/>
      </w:r>
      <w:r w:rsidRPr="00441E95">
        <w:rPr>
          <w:rFonts w:ascii="Times New Roman" w:eastAsia="Tahoma" w:hAnsi="Times New Roman"/>
          <w:noProof w:val="0"/>
          <w:sz w:val="24"/>
        </w:rPr>
        <w:t xml:space="preserve"> Naputak za Države Članice o članku 37. stavku 4. CPR </w:t>
      </w:r>
      <w:r w:rsidRPr="00441E95">
        <w:rPr>
          <w:rFonts w:ascii="Times New Roman" w:eastAsia="Tahoma" w:hAnsi="Times New Roman"/>
          <w:noProof w:val="0"/>
          <w:sz w:val="24"/>
        </w:rPr>
        <w:sym w:font="Symbol" w:char="F02D"/>
      </w:r>
      <w:r w:rsidRPr="00441E95">
        <w:rPr>
          <w:rFonts w:ascii="Times New Roman" w:eastAsia="Tahoma" w:hAnsi="Times New Roman"/>
          <w:noProof w:val="0"/>
          <w:sz w:val="24"/>
        </w:rPr>
        <w:t xml:space="preserve"> Potpora poduzećima / obrtni kapital, Europska komisija, EGESIF_14_0041-1 od 11. veljače 2015. godine (na engleskom jeziku)</w:t>
      </w:r>
      <w:r w:rsidRPr="00441E95">
        <w:rPr>
          <w:rFonts w:eastAsia="Tahoma"/>
          <w:noProof w:val="0"/>
          <w:vertAlign w:val="superscript"/>
        </w:rPr>
        <w:footnoteReference w:id="6"/>
      </w:r>
      <w:r w:rsidR="00B718D3" w:rsidRPr="00441E95">
        <w:rPr>
          <w:rFonts w:ascii="Times New Roman" w:eastAsia="Tahoma" w:hAnsi="Times New Roman"/>
          <w:noProof w:val="0"/>
          <w:sz w:val="24"/>
        </w:rPr>
        <w:t xml:space="preserve">; </w:t>
      </w:r>
    </w:p>
    <w:p w14:paraId="34E84574" w14:textId="77777777" w:rsidR="00F02147" w:rsidRPr="00441E95" w:rsidRDefault="00F02147" w:rsidP="001D5402">
      <w:pPr>
        <w:numPr>
          <w:ilvl w:val="0"/>
          <w:numId w:val="24"/>
        </w:numPr>
        <w:spacing w:before="0"/>
        <w:ind w:left="567"/>
        <w:rPr>
          <w:rFonts w:ascii="Times New Roman" w:eastAsia="Tahoma" w:hAnsi="Times New Roman"/>
          <w:noProof w:val="0"/>
          <w:sz w:val="24"/>
        </w:rPr>
      </w:pPr>
      <w:r w:rsidRPr="00441E95">
        <w:rPr>
          <w:rFonts w:ascii="Times New Roman" w:eastAsia="Tahoma" w:hAnsi="Times New Roman"/>
          <w:noProof w:val="0"/>
          <w:sz w:val="24"/>
        </w:rPr>
        <w:t xml:space="preserve">Europski strukturni i investicijski fondovi </w:t>
      </w:r>
      <w:r w:rsidRPr="00441E95">
        <w:rPr>
          <w:rFonts w:ascii="Times New Roman" w:eastAsia="Tahoma" w:hAnsi="Times New Roman"/>
          <w:noProof w:val="0"/>
          <w:sz w:val="24"/>
        </w:rPr>
        <w:sym w:font="Symbol" w:char="F02D"/>
      </w:r>
      <w:r w:rsidRPr="00441E95">
        <w:rPr>
          <w:rFonts w:ascii="Times New Roman" w:eastAsia="Tahoma" w:hAnsi="Times New Roman"/>
          <w:noProof w:val="0"/>
          <w:sz w:val="24"/>
        </w:rPr>
        <w:t xml:space="preserve"> Naputak za Države Članice o financijskim instrumentima </w:t>
      </w:r>
      <w:r w:rsidRPr="00441E95">
        <w:rPr>
          <w:rFonts w:ascii="Times New Roman" w:eastAsia="Tahoma" w:hAnsi="Times New Roman"/>
          <w:noProof w:val="0"/>
          <w:sz w:val="24"/>
        </w:rPr>
        <w:sym w:font="Symbol" w:char="F02D"/>
      </w:r>
      <w:r w:rsidRPr="00441E95">
        <w:rPr>
          <w:rFonts w:ascii="Times New Roman" w:eastAsia="Tahoma" w:hAnsi="Times New Roman"/>
          <w:noProof w:val="0"/>
          <w:sz w:val="24"/>
        </w:rPr>
        <w:t xml:space="preserve"> Glosar, Europska komisija, EGESIF_14-0040-1 od 11. veljače 2015. godine (na engleskom jeziku)</w:t>
      </w:r>
      <w:r w:rsidRPr="00441E95">
        <w:rPr>
          <w:rFonts w:eastAsia="Tahoma"/>
          <w:noProof w:val="0"/>
          <w:vertAlign w:val="superscript"/>
        </w:rPr>
        <w:footnoteReference w:id="7"/>
      </w:r>
      <w:r w:rsidR="00B718D3" w:rsidRPr="00441E95">
        <w:rPr>
          <w:rFonts w:ascii="Times New Roman" w:eastAsia="Tahoma" w:hAnsi="Times New Roman"/>
          <w:noProof w:val="0"/>
          <w:sz w:val="24"/>
        </w:rPr>
        <w:t>;</w:t>
      </w:r>
    </w:p>
    <w:p w14:paraId="4DBD53A6" w14:textId="77777777" w:rsidR="00F02147" w:rsidRPr="00441E95" w:rsidRDefault="00F02147" w:rsidP="001D5402">
      <w:pPr>
        <w:numPr>
          <w:ilvl w:val="0"/>
          <w:numId w:val="24"/>
        </w:numPr>
        <w:spacing w:before="0"/>
        <w:ind w:left="567"/>
        <w:rPr>
          <w:rFonts w:ascii="Times New Roman" w:eastAsia="Tahoma" w:hAnsi="Times New Roman"/>
          <w:noProof w:val="0"/>
          <w:sz w:val="24"/>
        </w:rPr>
      </w:pPr>
      <w:r w:rsidRPr="00441E95">
        <w:rPr>
          <w:rFonts w:ascii="Times New Roman" w:eastAsia="Tahoma" w:hAnsi="Times New Roman"/>
          <w:noProof w:val="0"/>
          <w:sz w:val="24"/>
        </w:rPr>
        <w:t xml:space="preserve">Europski strukturni i investicijski fondovi </w:t>
      </w:r>
      <w:r w:rsidRPr="00441E95">
        <w:rPr>
          <w:rFonts w:ascii="Times New Roman" w:eastAsia="Tahoma" w:hAnsi="Times New Roman"/>
          <w:noProof w:val="0"/>
          <w:sz w:val="24"/>
        </w:rPr>
        <w:sym w:font="Symbol" w:char="F02D"/>
      </w:r>
      <w:r w:rsidRPr="00441E95">
        <w:rPr>
          <w:rFonts w:ascii="Times New Roman" w:eastAsia="Tahoma" w:hAnsi="Times New Roman"/>
          <w:noProof w:val="0"/>
          <w:sz w:val="24"/>
        </w:rPr>
        <w:t xml:space="preserve"> Financijski instrumenti u ESIF programima 2014.-2020. </w:t>
      </w:r>
      <w:r w:rsidRPr="00441E95">
        <w:rPr>
          <w:rFonts w:ascii="Times New Roman" w:eastAsia="Tahoma" w:hAnsi="Times New Roman"/>
          <w:noProof w:val="0"/>
          <w:sz w:val="24"/>
        </w:rPr>
        <w:sym w:font="Symbol" w:char="F02D"/>
      </w:r>
      <w:r w:rsidRPr="00441E95">
        <w:rPr>
          <w:rFonts w:ascii="Times New Roman" w:eastAsia="Tahoma" w:hAnsi="Times New Roman"/>
          <w:noProof w:val="0"/>
          <w:sz w:val="24"/>
        </w:rPr>
        <w:t xml:space="preserve"> Kratki referentni vodič za upravljačka tijela, Europska komisija, Ref. Ares(2014)2195942-02/07/2014 od 2. srpnja 2014. godine (na engleskom jeziku)</w:t>
      </w:r>
      <w:r w:rsidRPr="00441E95">
        <w:rPr>
          <w:rFonts w:eastAsia="Tahoma"/>
          <w:noProof w:val="0"/>
          <w:vertAlign w:val="superscript"/>
        </w:rPr>
        <w:footnoteReference w:id="8"/>
      </w:r>
      <w:r w:rsidR="00B718D3" w:rsidRPr="00441E95">
        <w:rPr>
          <w:rFonts w:ascii="Times New Roman" w:eastAsia="Tahoma" w:hAnsi="Times New Roman"/>
          <w:noProof w:val="0"/>
          <w:sz w:val="24"/>
        </w:rPr>
        <w:t xml:space="preserve">; </w:t>
      </w:r>
    </w:p>
    <w:p w14:paraId="733EDF58" w14:textId="77777777" w:rsidR="00F02147" w:rsidRPr="00441E95" w:rsidRDefault="00F02147" w:rsidP="001D5402">
      <w:pPr>
        <w:numPr>
          <w:ilvl w:val="0"/>
          <w:numId w:val="24"/>
        </w:numPr>
        <w:spacing w:before="0"/>
        <w:ind w:left="567"/>
        <w:rPr>
          <w:rFonts w:ascii="Times New Roman" w:eastAsia="Tahoma" w:hAnsi="Times New Roman"/>
          <w:noProof w:val="0"/>
          <w:sz w:val="24"/>
        </w:rPr>
      </w:pPr>
      <w:r w:rsidRPr="00441E95">
        <w:rPr>
          <w:rFonts w:ascii="Times New Roman" w:eastAsia="Tahoma" w:hAnsi="Times New Roman"/>
          <w:noProof w:val="0"/>
          <w:sz w:val="24"/>
        </w:rPr>
        <w:t xml:space="preserve">Ex ante analiza za ESIF financijske instrumente </w:t>
      </w:r>
      <w:r w:rsidRPr="00441E95">
        <w:rPr>
          <w:rFonts w:ascii="Times New Roman" w:eastAsia="Tahoma" w:hAnsi="Times New Roman"/>
          <w:noProof w:val="0"/>
          <w:sz w:val="24"/>
        </w:rPr>
        <w:sym w:font="Symbol" w:char="F02D"/>
      </w:r>
      <w:r w:rsidRPr="00441E95">
        <w:rPr>
          <w:rFonts w:ascii="Times New Roman" w:eastAsia="Tahoma" w:hAnsi="Times New Roman"/>
          <w:noProof w:val="0"/>
          <w:sz w:val="24"/>
        </w:rPr>
        <w:t xml:space="preserve"> Brzi referentni vodič [Opća metodologija, pokriva sve tematske ciljeve], ver 1.0,  fi-compass, Europska komisija i EIB, svibanj 2014. godine  (na engleskom jeziku)</w:t>
      </w:r>
      <w:r w:rsidRPr="00441E95">
        <w:rPr>
          <w:rFonts w:eastAsia="Tahoma"/>
          <w:noProof w:val="0"/>
          <w:vertAlign w:val="superscript"/>
        </w:rPr>
        <w:footnoteReference w:id="9"/>
      </w:r>
      <w:r w:rsidR="00B718D3" w:rsidRPr="00441E95">
        <w:rPr>
          <w:rFonts w:ascii="Times New Roman" w:eastAsia="Tahoma" w:hAnsi="Times New Roman"/>
          <w:noProof w:val="0"/>
          <w:sz w:val="24"/>
        </w:rPr>
        <w:t>;</w:t>
      </w:r>
    </w:p>
    <w:p w14:paraId="4E0B1D37" w14:textId="77777777" w:rsidR="00D45F80" w:rsidRPr="00441E95" w:rsidRDefault="00D45F80" w:rsidP="001D5402">
      <w:pPr>
        <w:numPr>
          <w:ilvl w:val="0"/>
          <w:numId w:val="24"/>
        </w:numPr>
        <w:spacing w:before="0"/>
        <w:ind w:left="567"/>
        <w:rPr>
          <w:rFonts w:ascii="Times New Roman" w:eastAsia="Tahoma" w:hAnsi="Times New Roman"/>
          <w:noProof w:val="0"/>
          <w:sz w:val="24"/>
        </w:rPr>
      </w:pPr>
      <w:r w:rsidRPr="00441E95">
        <w:rPr>
          <w:rFonts w:ascii="Times New Roman" w:eastAsia="Tahoma" w:hAnsi="Times New Roman"/>
          <w:noProof w:val="0"/>
          <w:sz w:val="24"/>
        </w:rPr>
        <w:t>Europski struk</w:t>
      </w:r>
      <w:r w:rsidR="0021564E" w:rsidRPr="00441E95">
        <w:rPr>
          <w:rFonts w:ascii="Times New Roman" w:eastAsia="Tahoma" w:hAnsi="Times New Roman"/>
          <w:noProof w:val="0"/>
          <w:sz w:val="24"/>
        </w:rPr>
        <w:t xml:space="preserve">turni i investicijski fondovi - </w:t>
      </w:r>
      <w:r w:rsidRPr="00441E95">
        <w:rPr>
          <w:rFonts w:ascii="Times New Roman" w:eastAsia="Tahoma" w:hAnsi="Times New Roman"/>
          <w:noProof w:val="0"/>
          <w:sz w:val="24"/>
        </w:rPr>
        <w:t>Smjernic</w:t>
      </w:r>
      <w:r w:rsidR="0021564E" w:rsidRPr="00441E95">
        <w:rPr>
          <w:rFonts w:ascii="Times New Roman" w:eastAsia="Tahoma" w:hAnsi="Times New Roman"/>
          <w:noProof w:val="0"/>
          <w:sz w:val="24"/>
        </w:rPr>
        <w:t>a za države članice za članak 41. stavak 1</w:t>
      </w:r>
      <w:r w:rsidRPr="00441E95">
        <w:rPr>
          <w:rFonts w:ascii="Times New Roman" w:eastAsia="Tahoma" w:hAnsi="Times New Roman"/>
          <w:noProof w:val="0"/>
          <w:sz w:val="24"/>
        </w:rPr>
        <w:t xml:space="preserve">. </w:t>
      </w:r>
      <w:r w:rsidR="0021564E" w:rsidRPr="00441E95">
        <w:rPr>
          <w:rFonts w:ascii="Times New Roman" w:eastAsia="Tahoma" w:hAnsi="Times New Roman"/>
          <w:noProof w:val="0"/>
          <w:sz w:val="24"/>
        </w:rPr>
        <w:t xml:space="preserve">točku d. </w:t>
      </w:r>
      <w:r w:rsidRPr="00441E95">
        <w:rPr>
          <w:rFonts w:ascii="Times New Roman" w:eastAsia="Tahoma" w:hAnsi="Times New Roman"/>
          <w:noProof w:val="0"/>
          <w:sz w:val="24"/>
        </w:rPr>
        <w:t xml:space="preserve">CPR </w:t>
      </w:r>
      <w:r w:rsidR="0021564E" w:rsidRPr="00441E95">
        <w:rPr>
          <w:rFonts w:ascii="Times New Roman" w:eastAsia="Tahoma" w:hAnsi="Times New Roman"/>
          <w:noProof w:val="0"/>
          <w:sz w:val="24"/>
        </w:rPr>
        <w:t xml:space="preserve">– </w:t>
      </w:r>
      <w:r w:rsidR="00FF7989" w:rsidRPr="00441E95">
        <w:rPr>
          <w:rFonts w:ascii="Times New Roman" w:eastAsia="Tahoma" w:hAnsi="Times New Roman"/>
          <w:noProof w:val="0"/>
          <w:sz w:val="24"/>
        </w:rPr>
        <w:t>Prihvatljivi</w:t>
      </w:r>
      <w:r w:rsidR="0021564E" w:rsidRPr="00441E95">
        <w:rPr>
          <w:rFonts w:ascii="Times New Roman" w:eastAsia="Tahoma" w:hAnsi="Times New Roman"/>
          <w:noProof w:val="0"/>
          <w:sz w:val="24"/>
        </w:rPr>
        <w:t xml:space="preserve"> upravljački troškovi i naknade za upravljanje Europska komisija, EGESIF_15_0021_1 od 26</w:t>
      </w:r>
      <w:r w:rsidRPr="00441E95">
        <w:rPr>
          <w:rFonts w:ascii="Times New Roman" w:eastAsia="Tahoma" w:hAnsi="Times New Roman"/>
          <w:noProof w:val="0"/>
          <w:sz w:val="24"/>
        </w:rPr>
        <w:t>.</w:t>
      </w:r>
      <w:r w:rsidR="0021564E" w:rsidRPr="00441E95">
        <w:rPr>
          <w:rFonts w:ascii="Times New Roman" w:eastAsia="Tahoma" w:hAnsi="Times New Roman"/>
          <w:noProof w:val="0"/>
          <w:sz w:val="24"/>
        </w:rPr>
        <w:t>studenog</w:t>
      </w:r>
      <w:r w:rsidRPr="00441E95">
        <w:rPr>
          <w:rFonts w:ascii="Times New Roman" w:eastAsia="Tahoma" w:hAnsi="Times New Roman"/>
          <w:noProof w:val="0"/>
          <w:sz w:val="24"/>
        </w:rPr>
        <w:t xml:space="preserve"> 2015. godine (na engleskom jeziku)</w:t>
      </w:r>
      <w:r w:rsidR="0021564E" w:rsidRPr="00441E95">
        <w:rPr>
          <w:rFonts w:eastAsia="Tahoma"/>
          <w:noProof w:val="0"/>
          <w:vertAlign w:val="superscript"/>
        </w:rPr>
        <w:footnoteReference w:id="10"/>
      </w:r>
      <w:r w:rsidR="00B718D3" w:rsidRPr="00441E95">
        <w:rPr>
          <w:rFonts w:ascii="Times New Roman" w:eastAsia="Tahoma" w:hAnsi="Times New Roman"/>
          <w:noProof w:val="0"/>
          <w:sz w:val="24"/>
        </w:rPr>
        <w:t>;</w:t>
      </w:r>
    </w:p>
    <w:p w14:paraId="1B6CB6B3" w14:textId="77777777" w:rsidR="00F02147" w:rsidRPr="00441E95" w:rsidRDefault="00F02147" w:rsidP="001D5402">
      <w:pPr>
        <w:numPr>
          <w:ilvl w:val="0"/>
          <w:numId w:val="24"/>
        </w:numPr>
        <w:spacing w:before="0"/>
        <w:ind w:left="567"/>
        <w:rPr>
          <w:rFonts w:ascii="Times New Roman" w:eastAsia="Tahoma" w:hAnsi="Times New Roman"/>
          <w:noProof w:val="0"/>
          <w:sz w:val="24"/>
        </w:rPr>
      </w:pPr>
      <w:r w:rsidRPr="00441E95">
        <w:rPr>
          <w:rFonts w:ascii="Times New Roman" w:eastAsia="Tahoma" w:hAnsi="Times New Roman"/>
          <w:noProof w:val="0"/>
          <w:sz w:val="24"/>
        </w:rPr>
        <w:t xml:space="preserve">Ex ante metodologija za financijske instrumente u financijskom razdoblju 2014.-2020. </w:t>
      </w:r>
      <w:r w:rsidRPr="00441E95">
        <w:rPr>
          <w:rFonts w:ascii="Times New Roman" w:eastAsia="Tahoma" w:hAnsi="Times New Roman"/>
          <w:noProof w:val="0"/>
          <w:sz w:val="24"/>
        </w:rPr>
        <w:sym w:font="Symbol" w:char="F02D"/>
      </w:r>
      <w:r w:rsidRPr="00441E95">
        <w:rPr>
          <w:rFonts w:ascii="Times New Roman" w:eastAsia="Tahoma" w:hAnsi="Times New Roman"/>
          <w:noProof w:val="0"/>
          <w:sz w:val="24"/>
        </w:rPr>
        <w:t xml:space="preserve"> Opća metodologija za sve tematske ciljeve , Svezak I, ver. 1.2, fi-compass, Europska komisija i EIB, travanj 2014. godine (na engleskom jeziku)</w:t>
      </w:r>
      <w:r w:rsidRPr="00441E95">
        <w:rPr>
          <w:rFonts w:eastAsia="Tahoma"/>
          <w:noProof w:val="0"/>
          <w:vertAlign w:val="superscript"/>
        </w:rPr>
        <w:footnoteReference w:id="11"/>
      </w:r>
      <w:r w:rsidR="00B718D3" w:rsidRPr="00441E95">
        <w:rPr>
          <w:rFonts w:ascii="Times New Roman" w:eastAsia="Tahoma" w:hAnsi="Times New Roman"/>
          <w:noProof w:val="0"/>
          <w:sz w:val="24"/>
        </w:rPr>
        <w:t>;</w:t>
      </w:r>
    </w:p>
    <w:p w14:paraId="34A9C433" w14:textId="77777777" w:rsidR="00F02147" w:rsidRPr="00441E95" w:rsidRDefault="00F02147" w:rsidP="001D5402">
      <w:pPr>
        <w:numPr>
          <w:ilvl w:val="0"/>
          <w:numId w:val="24"/>
        </w:numPr>
        <w:spacing w:before="0"/>
        <w:ind w:left="567"/>
        <w:rPr>
          <w:rFonts w:ascii="Times New Roman" w:eastAsia="Tahoma" w:hAnsi="Times New Roman"/>
          <w:noProof w:val="0"/>
          <w:sz w:val="24"/>
        </w:rPr>
      </w:pPr>
      <w:r w:rsidRPr="00441E95">
        <w:rPr>
          <w:rFonts w:ascii="Times New Roman" w:eastAsia="Tahoma" w:hAnsi="Times New Roman"/>
          <w:noProof w:val="0"/>
          <w:sz w:val="24"/>
        </w:rPr>
        <w:lastRenderedPageBreak/>
        <w:t xml:space="preserve">Ex ante metodologija za financijske instrumente u financijskom razdoblju 2014.-2020. </w:t>
      </w:r>
      <w:r w:rsidRPr="00441E95">
        <w:rPr>
          <w:rFonts w:ascii="Times New Roman" w:eastAsia="Tahoma" w:hAnsi="Times New Roman"/>
          <w:noProof w:val="0"/>
          <w:sz w:val="24"/>
        </w:rPr>
        <w:sym w:font="Symbol" w:char="F02D"/>
      </w:r>
      <w:r w:rsidRPr="00441E95">
        <w:rPr>
          <w:rFonts w:ascii="Times New Roman" w:eastAsia="Tahoma" w:hAnsi="Times New Roman"/>
          <w:noProof w:val="0"/>
          <w:sz w:val="24"/>
        </w:rPr>
        <w:t xml:space="preserve"> Jačanje istraživanja, tehnološkog razvoja i inovacija (Tematski cilj 1), Svezak II, ver. 1.0, fi-compass, Europska komisija i EIB, travanj 2014. godine (na engleskom jeziku)</w:t>
      </w:r>
      <w:r w:rsidRPr="00441E95">
        <w:rPr>
          <w:rFonts w:ascii="Times New Roman" w:eastAsia="Tahoma" w:hAnsi="Times New Roman"/>
          <w:noProof w:val="0"/>
          <w:sz w:val="24"/>
          <w:vertAlign w:val="superscript"/>
        </w:rPr>
        <w:footnoteReference w:id="12"/>
      </w:r>
      <w:r w:rsidR="00B718D3" w:rsidRPr="00441E95">
        <w:rPr>
          <w:rFonts w:ascii="Times New Roman" w:eastAsia="Tahoma" w:hAnsi="Times New Roman"/>
          <w:noProof w:val="0"/>
          <w:sz w:val="24"/>
        </w:rPr>
        <w:t>;</w:t>
      </w:r>
    </w:p>
    <w:p w14:paraId="6FD8A3D4" w14:textId="77777777" w:rsidR="00F02147" w:rsidRPr="00441E95" w:rsidRDefault="00F02147" w:rsidP="001D5402">
      <w:pPr>
        <w:numPr>
          <w:ilvl w:val="0"/>
          <w:numId w:val="24"/>
        </w:numPr>
        <w:spacing w:before="0"/>
        <w:ind w:left="567"/>
        <w:rPr>
          <w:rFonts w:ascii="Times New Roman" w:eastAsia="Tahoma" w:hAnsi="Times New Roman"/>
          <w:noProof w:val="0"/>
          <w:sz w:val="24"/>
        </w:rPr>
      </w:pPr>
      <w:r w:rsidRPr="00441E95">
        <w:rPr>
          <w:rFonts w:ascii="Times New Roman" w:eastAsia="Tahoma" w:hAnsi="Times New Roman"/>
          <w:noProof w:val="0"/>
          <w:sz w:val="24"/>
        </w:rPr>
        <w:t xml:space="preserve">Ex ante metodologija za financijske instrumente u financijskom razdoblju 2014.-2020. </w:t>
      </w:r>
      <w:r w:rsidRPr="00441E95">
        <w:rPr>
          <w:rFonts w:ascii="Times New Roman" w:eastAsia="Tahoma" w:hAnsi="Times New Roman"/>
          <w:noProof w:val="0"/>
          <w:sz w:val="24"/>
        </w:rPr>
        <w:sym w:font="Symbol" w:char="F02D"/>
      </w:r>
      <w:r w:rsidRPr="00441E95">
        <w:rPr>
          <w:rFonts w:ascii="Times New Roman" w:eastAsia="Tahoma" w:hAnsi="Times New Roman"/>
          <w:noProof w:val="0"/>
          <w:sz w:val="24"/>
        </w:rPr>
        <w:t xml:space="preserve"> Jačanje konkurentnosti  MSP-ova, uključujući poljoprivredni sektor, mikrokredite i sektor ribarstva (Tematski cilj 3), Svezak III, ver. 1.2, fi-compass, Europska komisija i EIB, travanj 2014. godine (na engleskom jeziku)</w:t>
      </w:r>
      <w:r w:rsidRPr="00441E95">
        <w:rPr>
          <w:rFonts w:eastAsia="Tahoma"/>
          <w:noProof w:val="0"/>
          <w:vertAlign w:val="superscript"/>
        </w:rPr>
        <w:footnoteReference w:id="13"/>
      </w:r>
      <w:r w:rsidR="00B718D3" w:rsidRPr="00441E95">
        <w:rPr>
          <w:rFonts w:ascii="Times New Roman" w:eastAsia="Tahoma" w:hAnsi="Times New Roman"/>
          <w:noProof w:val="0"/>
          <w:sz w:val="24"/>
        </w:rPr>
        <w:t>;</w:t>
      </w:r>
    </w:p>
    <w:p w14:paraId="6511EAE8" w14:textId="77777777" w:rsidR="00F02147" w:rsidRPr="00441E95" w:rsidRDefault="00F02147" w:rsidP="001D5402">
      <w:pPr>
        <w:numPr>
          <w:ilvl w:val="0"/>
          <w:numId w:val="24"/>
        </w:numPr>
        <w:spacing w:before="0"/>
        <w:ind w:left="567"/>
        <w:rPr>
          <w:rFonts w:ascii="Times New Roman" w:eastAsia="Tahoma" w:hAnsi="Times New Roman"/>
          <w:noProof w:val="0"/>
          <w:sz w:val="24"/>
        </w:rPr>
      </w:pPr>
      <w:r w:rsidRPr="00441E95">
        <w:rPr>
          <w:rFonts w:ascii="Times New Roman" w:eastAsia="Tahoma" w:hAnsi="Times New Roman"/>
          <w:noProof w:val="0"/>
          <w:sz w:val="24"/>
        </w:rPr>
        <w:t xml:space="preserve">Ex ante metodologija za financijske instrumente u financijskom razdoblju 2014.-2020. </w:t>
      </w:r>
      <w:r w:rsidRPr="00441E95">
        <w:rPr>
          <w:rFonts w:ascii="Times New Roman" w:eastAsia="Tahoma" w:hAnsi="Times New Roman"/>
          <w:noProof w:val="0"/>
          <w:sz w:val="24"/>
        </w:rPr>
        <w:sym w:font="Symbol" w:char="F02D"/>
      </w:r>
      <w:r w:rsidRPr="00441E95">
        <w:rPr>
          <w:rFonts w:ascii="Times New Roman" w:eastAsia="Tahoma" w:hAnsi="Times New Roman"/>
          <w:noProof w:val="0"/>
          <w:sz w:val="24"/>
        </w:rPr>
        <w:t xml:space="preserve"> Podrška prelasku na ekonomiju s niskom razinom emisije CO2 (Tematski cilj 4), Svezak IV, ver. 1.0, fi-compass, Europska komisija i EIB, svibanj 2014. godine (na engleskom jeziku)</w:t>
      </w:r>
      <w:r w:rsidRPr="00441E95">
        <w:rPr>
          <w:rFonts w:eastAsia="Tahoma"/>
          <w:noProof w:val="0"/>
          <w:vertAlign w:val="superscript"/>
        </w:rPr>
        <w:footnoteReference w:id="14"/>
      </w:r>
      <w:r w:rsidR="00B718D3" w:rsidRPr="00441E95">
        <w:rPr>
          <w:rFonts w:ascii="Times New Roman" w:eastAsia="Tahoma" w:hAnsi="Times New Roman"/>
          <w:noProof w:val="0"/>
          <w:sz w:val="24"/>
        </w:rPr>
        <w:t>;</w:t>
      </w:r>
    </w:p>
    <w:p w14:paraId="7B6DBFE3" w14:textId="77777777" w:rsidR="00F02147" w:rsidRPr="00441E95" w:rsidRDefault="00F02147" w:rsidP="001D5402">
      <w:pPr>
        <w:numPr>
          <w:ilvl w:val="0"/>
          <w:numId w:val="24"/>
        </w:numPr>
        <w:spacing w:before="0"/>
        <w:ind w:left="567"/>
        <w:rPr>
          <w:rFonts w:ascii="Times New Roman" w:eastAsia="Tahoma" w:hAnsi="Times New Roman"/>
          <w:noProof w:val="0"/>
          <w:sz w:val="24"/>
        </w:rPr>
      </w:pPr>
      <w:r w:rsidRPr="00441E95">
        <w:rPr>
          <w:rFonts w:ascii="Times New Roman" w:eastAsia="Tahoma" w:hAnsi="Times New Roman"/>
          <w:noProof w:val="0"/>
          <w:sz w:val="24"/>
        </w:rPr>
        <w:t xml:space="preserve">Ex ante metodologija za financijske instrumente u financijskom razdoblju 2014.-2020. </w:t>
      </w:r>
      <w:r w:rsidRPr="00441E95">
        <w:rPr>
          <w:rFonts w:ascii="Times New Roman" w:eastAsia="Tahoma" w:hAnsi="Times New Roman"/>
          <w:noProof w:val="0"/>
          <w:sz w:val="24"/>
        </w:rPr>
        <w:sym w:font="Symbol" w:char="F02D"/>
      </w:r>
      <w:r w:rsidRPr="00441E95">
        <w:rPr>
          <w:rFonts w:ascii="Times New Roman" w:eastAsia="Tahoma" w:hAnsi="Times New Roman"/>
          <w:noProof w:val="0"/>
          <w:sz w:val="24"/>
        </w:rPr>
        <w:t xml:space="preserve"> Financijski instrumenti za urbani i teritorijalni raz</w:t>
      </w:r>
      <w:r w:rsidR="001743D7" w:rsidRPr="00441E95">
        <w:rPr>
          <w:rFonts w:ascii="Times New Roman" w:eastAsia="Tahoma" w:hAnsi="Times New Roman"/>
          <w:noProof w:val="0"/>
          <w:sz w:val="24"/>
        </w:rPr>
        <w:t>v</w:t>
      </w:r>
      <w:r w:rsidRPr="00441E95">
        <w:rPr>
          <w:rFonts w:ascii="Times New Roman" w:eastAsia="Tahoma" w:hAnsi="Times New Roman"/>
          <w:noProof w:val="0"/>
          <w:sz w:val="24"/>
        </w:rPr>
        <w:t>oj (Tematski cilj 7), Svezak V, ver. 1.0, fi-compass, Europska komisija i EIB, svibanj 2014. godine (na engleskom jeziku)</w:t>
      </w:r>
      <w:r w:rsidRPr="00441E95">
        <w:rPr>
          <w:rFonts w:eastAsia="Tahoma"/>
          <w:noProof w:val="0"/>
          <w:vertAlign w:val="superscript"/>
        </w:rPr>
        <w:footnoteReference w:id="15"/>
      </w:r>
      <w:r w:rsidR="00B718D3" w:rsidRPr="00441E95">
        <w:rPr>
          <w:rFonts w:ascii="Times New Roman" w:eastAsia="Tahoma" w:hAnsi="Times New Roman"/>
          <w:noProof w:val="0"/>
          <w:sz w:val="24"/>
        </w:rPr>
        <w:t>;</w:t>
      </w:r>
    </w:p>
    <w:p w14:paraId="3C67601A" w14:textId="77777777" w:rsidR="00F02147" w:rsidRPr="00441E95" w:rsidRDefault="00F02147" w:rsidP="001D5402">
      <w:pPr>
        <w:numPr>
          <w:ilvl w:val="0"/>
          <w:numId w:val="24"/>
        </w:numPr>
        <w:spacing w:before="0"/>
        <w:ind w:left="567"/>
        <w:rPr>
          <w:rFonts w:ascii="Times New Roman" w:eastAsia="Tahoma" w:hAnsi="Times New Roman"/>
          <w:noProof w:val="0"/>
          <w:sz w:val="24"/>
        </w:rPr>
      </w:pPr>
      <w:r w:rsidRPr="00441E95">
        <w:rPr>
          <w:rFonts w:ascii="Times New Roman" w:eastAsia="Tahoma" w:hAnsi="Times New Roman"/>
          <w:noProof w:val="0"/>
          <w:sz w:val="24"/>
        </w:rPr>
        <w:t xml:space="preserve">Metodologije za ex ante analizu za financijske instrumente </w:t>
      </w:r>
      <w:r w:rsidRPr="00441E95">
        <w:rPr>
          <w:rFonts w:ascii="Times New Roman" w:eastAsia="Tahoma" w:hAnsi="Times New Roman"/>
          <w:noProof w:val="0"/>
          <w:sz w:val="24"/>
        </w:rPr>
        <w:sym w:font="Symbol" w:char="F02D"/>
      </w:r>
      <w:r w:rsidRPr="00441E95">
        <w:rPr>
          <w:rFonts w:ascii="Times New Roman" w:eastAsia="Tahoma" w:hAnsi="Times New Roman"/>
          <w:noProof w:val="0"/>
          <w:sz w:val="24"/>
        </w:rPr>
        <w:t xml:space="preserve"> Obuka za upravljačka tijela, Europska komisija, EIB, PwC, lipanj 2014. godine (na engleskom jeziku)</w:t>
      </w:r>
      <w:r w:rsidRPr="00441E95">
        <w:rPr>
          <w:rFonts w:eastAsia="Tahoma"/>
          <w:noProof w:val="0"/>
          <w:vertAlign w:val="superscript"/>
        </w:rPr>
        <w:footnoteReference w:id="16"/>
      </w:r>
      <w:r w:rsidR="00B718D3" w:rsidRPr="00441E95">
        <w:rPr>
          <w:rFonts w:ascii="Times New Roman" w:eastAsia="Tahoma" w:hAnsi="Times New Roman"/>
          <w:noProof w:val="0"/>
          <w:sz w:val="24"/>
        </w:rPr>
        <w:t>;</w:t>
      </w:r>
    </w:p>
    <w:p w14:paraId="64DE8A01" w14:textId="77777777" w:rsidR="00F02147" w:rsidRPr="00441E95" w:rsidRDefault="00F02147" w:rsidP="001D5402">
      <w:pPr>
        <w:numPr>
          <w:ilvl w:val="0"/>
          <w:numId w:val="24"/>
        </w:numPr>
        <w:spacing w:before="0"/>
        <w:ind w:left="567"/>
        <w:rPr>
          <w:rFonts w:ascii="Times New Roman" w:eastAsia="Tahoma" w:hAnsi="Times New Roman"/>
          <w:noProof w:val="0"/>
          <w:sz w:val="24"/>
        </w:rPr>
      </w:pPr>
      <w:r w:rsidRPr="00441E95">
        <w:rPr>
          <w:rFonts w:ascii="Times New Roman" w:eastAsia="Tahoma" w:hAnsi="Times New Roman"/>
          <w:noProof w:val="0"/>
          <w:sz w:val="24"/>
        </w:rPr>
        <w:t xml:space="preserve">Europski strukturni i investicijski fondovi </w:t>
      </w:r>
      <w:r w:rsidRPr="00441E95">
        <w:rPr>
          <w:rFonts w:ascii="Times New Roman" w:eastAsia="Tahoma" w:hAnsi="Times New Roman"/>
          <w:noProof w:val="0"/>
          <w:sz w:val="24"/>
        </w:rPr>
        <w:sym w:font="Symbol" w:char="F02D"/>
      </w:r>
      <w:r w:rsidRPr="00441E95">
        <w:rPr>
          <w:rFonts w:ascii="Times New Roman" w:eastAsia="Tahoma" w:hAnsi="Times New Roman"/>
          <w:noProof w:val="0"/>
          <w:sz w:val="24"/>
        </w:rPr>
        <w:t xml:space="preserve"> Naputak za Države Članice o članku 41. UZO Zahtjevi za plaćanje, Europska komisija, EGESIF_15-0006-01 od 8. lipnja 2015. godine (na engleskom jeziku)</w:t>
      </w:r>
      <w:r w:rsidRPr="00441E95">
        <w:rPr>
          <w:rFonts w:eastAsia="Tahoma"/>
          <w:noProof w:val="0"/>
          <w:vertAlign w:val="superscript"/>
        </w:rPr>
        <w:footnoteReference w:id="17"/>
      </w:r>
      <w:r w:rsidR="00B718D3" w:rsidRPr="00441E95">
        <w:rPr>
          <w:rFonts w:ascii="Times New Roman" w:eastAsia="Tahoma" w:hAnsi="Times New Roman"/>
          <w:noProof w:val="0"/>
          <w:sz w:val="24"/>
        </w:rPr>
        <w:t>.</w:t>
      </w:r>
    </w:p>
    <w:p w14:paraId="47796671" w14:textId="056FFFB4" w:rsidR="006957C1" w:rsidRPr="00441E95" w:rsidRDefault="006957C1">
      <w:pPr>
        <w:tabs>
          <w:tab w:val="clear" w:pos="2160"/>
        </w:tabs>
        <w:spacing w:before="0"/>
        <w:ind w:left="0" w:firstLine="0"/>
        <w:jc w:val="left"/>
        <w:rPr>
          <w:rFonts w:ascii="Times New Roman" w:hAnsi="Times New Roman"/>
          <w:noProof w:val="0"/>
          <w:sz w:val="24"/>
        </w:rPr>
      </w:pPr>
      <w:r w:rsidRPr="00441E95">
        <w:rPr>
          <w:rFonts w:ascii="Times New Roman" w:hAnsi="Times New Roman"/>
          <w:noProof w:val="0"/>
          <w:sz w:val="24"/>
        </w:rPr>
        <w:br w:type="page"/>
      </w:r>
    </w:p>
    <w:p w14:paraId="175BCB81" w14:textId="06D9FE41" w:rsidR="00A60681" w:rsidRPr="00441E95" w:rsidRDefault="000803F8" w:rsidP="00EA6306">
      <w:pPr>
        <w:pStyle w:val="Heading1"/>
        <w:numPr>
          <w:ilvl w:val="0"/>
          <w:numId w:val="18"/>
        </w:numPr>
        <w:spacing w:before="360" w:after="360"/>
        <w:ind w:left="284"/>
        <w:rPr>
          <w:rFonts w:ascii="Times New Roman" w:hAnsi="Times New Roman" w:cs="Times New Roman"/>
          <w:noProof w:val="0"/>
          <w:sz w:val="24"/>
        </w:rPr>
      </w:pPr>
      <w:bookmarkStart w:id="13" w:name="_Ref346194223"/>
      <w:bookmarkStart w:id="14" w:name="_Toc447899776"/>
      <w:bookmarkStart w:id="15" w:name="_Toc3300634"/>
      <w:bookmarkStart w:id="16" w:name="_Toc3300673"/>
      <w:r w:rsidRPr="00441E95">
        <w:rPr>
          <w:rFonts w:ascii="Times New Roman" w:hAnsi="Times New Roman" w:cs="Times New Roman"/>
          <w:noProof w:val="0"/>
          <w:sz w:val="24"/>
        </w:rPr>
        <w:lastRenderedPageBreak/>
        <w:t>D</w:t>
      </w:r>
      <w:r w:rsidR="00932D05" w:rsidRPr="00441E95">
        <w:rPr>
          <w:rFonts w:ascii="Times New Roman" w:hAnsi="Times New Roman" w:cs="Times New Roman"/>
          <w:noProof w:val="0"/>
          <w:sz w:val="24"/>
        </w:rPr>
        <w:t>EFINICIJE I KRATICE</w:t>
      </w:r>
      <w:bookmarkEnd w:id="13"/>
      <w:bookmarkEnd w:id="14"/>
      <w:bookmarkEnd w:id="15"/>
      <w:bookmarkEnd w:id="16"/>
    </w:p>
    <w:p w14:paraId="48E3BA82" w14:textId="1E8981D4" w:rsidR="00455A4B" w:rsidRPr="00441E95" w:rsidRDefault="001C0C02" w:rsidP="001A2AFF">
      <w:pPr>
        <w:pStyle w:val="Heading1"/>
        <w:spacing w:before="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bookmarkStart w:id="17" w:name="_Toc447899777"/>
      <w:bookmarkStart w:id="18" w:name="_Toc535399371"/>
      <w:bookmarkStart w:id="19" w:name="_Toc3300635"/>
      <w:bookmarkStart w:id="20" w:name="_Toc3300674"/>
      <w:r w:rsidRPr="00441E95">
        <w:rPr>
          <w:rFonts w:ascii="Times New Roman" w:hAnsi="Times New Roman" w:cs="Times New Roman"/>
          <w:noProof w:val="0"/>
          <w:sz w:val="24"/>
          <w:szCs w:val="24"/>
        </w:rPr>
        <w:t>4</w:t>
      </w:r>
      <w:r w:rsidR="005B0725" w:rsidRPr="00441E95">
        <w:rPr>
          <w:rFonts w:ascii="Times New Roman" w:hAnsi="Times New Roman" w:cs="Times New Roman"/>
          <w:noProof w:val="0"/>
          <w:sz w:val="24"/>
          <w:szCs w:val="24"/>
        </w:rPr>
        <w:t>.1 Definicije</w:t>
      </w:r>
      <w:bookmarkEnd w:id="17"/>
      <w:bookmarkEnd w:id="18"/>
      <w:bookmarkEnd w:id="19"/>
      <w:bookmarkEnd w:id="20"/>
    </w:p>
    <w:p w14:paraId="6376EF3B" w14:textId="77777777" w:rsidR="00B718D3" w:rsidRPr="00441E95" w:rsidRDefault="00B718D3" w:rsidP="006957C1">
      <w:pPr>
        <w:ind w:left="0" w:firstLine="0"/>
        <w:rPr>
          <w:noProof w:val="0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148"/>
        <w:gridCol w:w="5056"/>
        <w:gridCol w:w="2401"/>
      </w:tblGrid>
      <w:tr w:rsidR="00850478" w:rsidRPr="00441E95" w14:paraId="007A7DCD" w14:textId="77777777" w:rsidTr="00093EA8">
        <w:tc>
          <w:tcPr>
            <w:tcW w:w="2148" w:type="dxa"/>
            <w:shd w:val="clear" w:color="auto" w:fill="auto"/>
            <w:vAlign w:val="center"/>
          </w:tcPr>
          <w:p w14:paraId="64C49AC0" w14:textId="77777777" w:rsidR="00CA723D" w:rsidRPr="00441E95" w:rsidRDefault="00CA723D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Pojam</w:t>
            </w:r>
          </w:p>
        </w:tc>
        <w:tc>
          <w:tcPr>
            <w:tcW w:w="5056" w:type="dxa"/>
            <w:shd w:val="clear" w:color="auto" w:fill="auto"/>
            <w:vAlign w:val="center"/>
          </w:tcPr>
          <w:p w14:paraId="65719C4D" w14:textId="77777777" w:rsidR="00CA723D" w:rsidRPr="00441E95" w:rsidRDefault="00CA723D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Definicija</w:t>
            </w:r>
          </w:p>
        </w:tc>
        <w:tc>
          <w:tcPr>
            <w:tcW w:w="2401" w:type="dxa"/>
            <w:shd w:val="clear" w:color="auto" w:fill="auto"/>
            <w:vAlign w:val="center"/>
          </w:tcPr>
          <w:p w14:paraId="52862D08" w14:textId="77777777" w:rsidR="00CA723D" w:rsidRPr="00441E95" w:rsidRDefault="00CA723D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Izvor</w:t>
            </w:r>
          </w:p>
        </w:tc>
      </w:tr>
      <w:tr w:rsidR="00850478" w:rsidRPr="00441E95" w14:paraId="76CEE2E7" w14:textId="77777777" w:rsidTr="00897D04">
        <w:tc>
          <w:tcPr>
            <w:tcW w:w="2148" w:type="dxa"/>
            <w:shd w:val="clear" w:color="auto" w:fill="auto"/>
          </w:tcPr>
          <w:p w14:paraId="7638D88B" w14:textId="77777777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shd w:val="clear" w:color="auto" w:fill="FFFFFF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shd w:val="clear" w:color="auto" w:fill="FFFFFF"/>
                <w:lang w:val="hr-HR"/>
              </w:rPr>
              <w:t>doprinos OPKK financijskom instrumentu</w:t>
            </w:r>
          </w:p>
          <w:p w14:paraId="7DD839BD" w14:textId="77777777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shd w:val="clear" w:color="auto" w:fill="FFFFFF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shd w:val="clear" w:color="auto" w:fill="FFFFFF"/>
                <w:lang w:val="hr-HR"/>
              </w:rPr>
              <w:t xml:space="preserve">(eng. </w:t>
            </w:r>
            <w:r w:rsidRPr="00441E95">
              <w:rPr>
                <w:rFonts w:ascii="Times New Roman" w:hAnsi="Times New Roman"/>
                <w:i/>
                <w:noProof w:val="0"/>
                <w:sz w:val="24"/>
                <w:szCs w:val="24"/>
                <w:shd w:val="clear" w:color="auto" w:fill="FFFFFF"/>
                <w:lang w:val="hr-HR"/>
              </w:rPr>
              <w:t>OPCC contribution to the Financial Instrument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shd w:val="clear" w:color="auto" w:fill="FFFFFF"/>
                <w:lang w:val="hr-HR"/>
              </w:rPr>
              <w:t>)</w:t>
            </w:r>
          </w:p>
        </w:tc>
        <w:tc>
          <w:tcPr>
            <w:tcW w:w="5056" w:type="dxa"/>
            <w:shd w:val="clear" w:color="auto" w:fill="auto"/>
          </w:tcPr>
          <w:p w14:paraId="6B2C0CF5" w14:textId="20186991" w:rsidR="00D755F8" w:rsidRPr="00441E95" w:rsidRDefault="00D755F8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sredstva OPKK stavljena na raspolaganje </w:t>
            </w:r>
            <w:r w:rsidR="00F83E77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FI-ju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, obuhvaćaju financijsku potporu </w:t>
            </w:r>
            <w:r w:rsidR="00F83E77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Europskog fonda za regionalni razvoj (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EFRR</w:t>
            </w:r>
            <w:r w:rsidR="00F83E77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)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i popratno nacionalno sufinanciranje</w:t>
            </w:r>
          </w:p>
        </w:tc>
        <w:tc>
          <w:tcPr>
            <w:tcW w:w="2401" w:type="dxa"/>
            <w:shd w:val="clear" w:color="auto" w:fill="auto"/>
          </w:tcPr>
          <w:p w14:paraId="13F9F23E" w14:textId="2577EFBC" w:rsidR="00D755F8" w:rsidRPr="00441E95" w:rsidRDefault="002F1674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članak</w:t>
            </w:r>
            <w:r w:rsidR="00D755F8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37. 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Uredbe </w:t>
            </w:r>
            <w:r w:rsidR="00D755F8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(EU) br. 1303/2013</w:t>
            </w:r>
          </w:p>
        </w:tc>
      </w:tr>
      <w:tr w:rsidR="00850478" w:rsidRPr="00441E95" w14:paraId="786E3541" w14:textId="77777777" w:rsidTr="00897D04">
        <w:tc>
          <w:tcPr>
            <w:tcW w:w="2148" w:type="dxa"/>
            <w:shd w:val="clear" w:color="auto" w:fill="auto"/>
          </w:tcPr>
          <w:p w14:paraId="79E3A276" w14:textId="77777777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e-kohezija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br/>
              <w:t xml:space="preserve">(eng. </w:t>
            </w:r>
            <w:r w:rsidRPr="00441E95">
              <w:rPr>
                <w:rFonts w:ascii="Times New Roman" w:hAnsi="Times New Roman"/>
                <w:i/>
                <w:noProof w:val="0"/>
                <w:sz w:val="24"/>
                <w:szCs w:val="24"/>
                <w:lang w:val="hr-HR"/>
              </w:rPr>
              <w:t>e-cohesion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)</w:t>
            </w:r>
          </w:p>
        </w:tc>
        <w:tc>
          <w:tcPr>
            <w:tcW w:w="5056" w:type="dxa"/>
            <w:shd w:val="clear" w:color="auto" w:fill="auto"/>
          </w:tcPr>
          <w:p w14:paraId="2CDC9476" w14:textId="44AE8100" w:rsidR="00D755F8" w:rsidRPr="00441E95" w:rsidRDefault="00D755F8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inicijativa </w:t>
            </w:r>
            <w:r w:rsidR="00662650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EU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namijenjena podršci smanjenja administrativnog opterećenja korisnika i upravljača programima kao važnoga dijela pojednostavljenja strukturnih fondova u financijskom razdoblju 2014.-2020., omogućuje sigurnu elektronsku razmjen</w:t>
            </w:r>
            <w:r w:rsidR="001743D7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u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podataka između korisnika i </w:t>
            </w:r>
            <w:r w:rsidR="00F83E77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UT-a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, </w:t>
            </w:r>
            <w:r w:rsidR="00F83E77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TO-a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i revizorskog tijela i posredničkih tijela, te </w:t>
            </w:r>
            <w:r w:rsidR="00662650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je 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praktično ostvarena putem sustava elektroničke razmjene podataka</w:t>
            </w:r>
          </w:p>
        </w:tc>
        <w:tc>
          <w:tcPr>
            <w:tcW w:w="2401" w:type="dxa"/>
            <w:shd w:val="clear" w:color="auto" w:fill="auto"/>
          </w:tcPr>
          <w:p w14:paraId="253835A1" w14:textId="77777777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temeljeno na članku 122. stavku 3. Uredbe (EU) br. 1303/2013 </w:t>
            </w:r>
          </w:p>
        </w:tc>
      </w:tr>
      <w:tr w:rsidR="00850478" w:rsidRPr="00441E95" w14:paraId="567F1E4E" w14:textId="77777777" w:rsidTr="00897D04">
        <w:tc>
          <w:tcPr>
            <w:tcW w:w="2148" w:type="dxa"/>
            <w:shd w:val="clear" w:color="auto" w:fill="auto"/>
          </w:tcPr>
          <w:p w14:paraId="36FE01AA" w14:textId="77777777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i/>
                <w:noProof w:val="0"/>
                <w:sz w:val="24"/>
                <w:szCs w:val="24"/>
                <w:lang w:val="hr-HR"/>
              </w:rPr>
              <w:t xml:space="preserve">ex ante 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analiza</w:t>
            </w:r>
          </w:p>
          <w:p w14:paraId="19C783B1" w14:textId="7597BC28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(eng. </w:t>
            </w:r>
            <w:r w:rsidRPr="00441E95">
              <w:rPr>
                <w:rFonts w:ascii="Times New Roman" w:hAnsi="Times New Roman"/>
                <w:i/>
                <w:noProof w:val="0"/>
                <w:sz w:val="24"/>
                <w:szCs w:val="24"/>
                <w:lang w:val="hr-HR"/>
              </w:rPr>
              <w:t>ex ante assessment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)</w:t>
            </w:r>
          </w:p>
        </w:tc>
        <w:tc>
          <w:tcPr>
            <w:tcW w:w="5056" w:type="dxa"/>
            <w:shd w:val="clear" w:color="auto" w:fill="auto"/>
          </w:tcPr>
          <w:p w14:paraId="1613CF48" w14:textId="5A5DE411" w:rsidR="00D755F8" w:rsidRPr="00441E95" w:rsidRDefault="00D755F8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analiza koja prethodi doprinosu programa </w:t>
            </w:r>
            <w:r w:rsidR="00F83E77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Europskih strukturnih i investicijskih fondova (ESIF) FI-ju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, kojom se utvrđuje postojanje tržišnih nedostataka ili neoptimalnih situacija za ulaganja, kao i procijenjena razina i opseg javnih investicijskih potreba, uključujući i vrste </w:t>
            </w:r>
            <w:r w:rsidR="00662650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FI-jeva</w:t>
            </w:r>
          </w:p>
        </w:tc>
        <w:tc>
          <w:tcPr>
            <w:tcW w:w="2401" w:type="dxa"/>
            <w:shd w:val="clear" w:color="auto" w:fill="auto"/>
          </w:tcPr>
          <w:p w14:paraId="1103B68E" w14:textId="2178B8E9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članak 37. stavak 2. točka </w:t>
            </w:r>
            <w:r w:rsidR="00622F81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(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c) Uredbe (EU) br. 1303/2013 </w:t>
            </w:r>
          </w:p>
        </w:tc>
      </w:tr>
      <w:tr w:rsidR="00850478" w:rsidRPr="00441E95" w14:paraId="2C443445" w14:textId="77777777" w:rsidTr="00897D04">
        <w:tc>
          <w:tcPr>
            <w:tcW w:w="2148" w:type="dxa"/>
            <w:shd w:val="clear" w:color="auto" w:fill="auto"/>
          </w:tcPr>
          <w:p w14:paraId="65BA836E" w14:textId="4BA677E4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financijski instrument </w:t>
            </w:r>
            <w:r w:rsidR="003456B5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(FI)</w:t>
            </w:r>
          </w:p>
          <w:p w14:paraId="3F50FEC8" w14:textId="77777777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(eng. </w:t>
            </w:r>
            <w:r w:rsidRPr="00441E95">
              <w:rPr>
                <w:rFonts w:ascii="Times New Roman" w:hAnsi="Times New Roman"/>
                <w:i/>
                <w:noProof w:val="0"/>
                <w:sz w:val="24"/>
                <w:szCs w:val="24"/>
                <w:lang w:val="hr-HR"/>
              </w:rPr>
              <w:t>financial instrument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)</w:t>
            </w:r>
          </w:p>
        </w:tc>
        <w:tc>
          <w:tcPr>
            <w:tcW w:w="5056" w:type="dxa"/>
            <w:shd w:val="clear" w:color="auto" w:fill="auto"/>
          </w:tcPr>
          <w:p w14:paraId="214B271C" w14:textId="450DBE7D" w:rsidR="00D755F8" w:rsidRPr="00441E95" w:rsidRDefault="003B5E5E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mjer</w:t>
            </w:r>
            <w:r w:rsidR="00F91127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a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financijske potpore </w:t>
            </w:r>
            <w:r w:rsidR="00F91127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EU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koja se pruža iz proračuna kako bi se postigao jedan ili više određenih ciljeva politike </w:t>
            </w:r>
            <w:r w:rsidR="00F91127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EU;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</w:t>
            </w:r>
            <w:r w:rsidR="00F91127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može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biti u obliku vlasničkih ili kvazivlasničkih ulaganja, zajmova ili jamstava ili drugih instrumenata podjele rizika i </w:t>
            </w:r>
            <w:r w:rsidR="00F91127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može se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prema potrebi kombinirati s drugim vrstama financijske potpore, sa sredstvima u okviru podijeljenog upravljanja ili sa sredstvima iz ERF</w:t>
            </w:r>
            <w:r w:rsidR="00662650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-a</w:t>
            </w:r>
          </w:p>
        </w:tc>
        <w:tc>
          <w:tcPr>
            <w:tcW w:w="2401" w:type="dxa"/>
            <w:shd w:val="clear" w:color="auto" w:fill="auto"/>
          </w:tcPr>
          <w:p w14:paraId="5B281897" w14:textId="3B51A571" w:rsidR="00D755F8" w:rsidRPr="00441E95" w:rsidRDefault="001C0C02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članak </w:t>
            </w:r>
            <w:r w:rsidR="00A40746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2. st. 29. Uredbe (EU, Euratom) 2018/1046</w:t>
            </w:r>
          </w:p>
        </w:tc>
      </w:tr>
      <w:tr w:rsidR="00850478" w:rsidRPr="00441E95" w14:paraId="051918D5" w14:textId="77777777" w:rsidTr="00897D04">
        <w:tc>
          <w:tcPr>
            <w:tcW w:w="2148" w:type="dxa"/>
            <w:shd w:val="clear" w:color="auto" w:fill="auto"/>
          </w:tcPr>
          <w:p w14:paraId="4F96059F" w14:textId="2B216752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financijski posrednik</w:t>
            </w:r>
            <w:r w:rsidR="003456B5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(FP)</w:t>
            </w:r>
          </w:p>
          <w:p w14:paraId="49627456" w14:textId="77777777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(eng. </w:t>
            </w:r>
            <w:r w:rsidRPr="00441E95">
              <w:rPr>
                <w:rFonts w:ascii="Times New Roman" w:hAnsi="Times New Roman"/>
                <w:i/>
                <w:noProof w:val="0"/>
                <w:sz w:val="24"/>
                <w:szCs w:val="24"/>
                <w:lang w:val="hr-HR"/>
              </w:rPr>
              <w:t>financial intermediary)</w:t>
            </w:r>
          </w:p>
        </w:tc>
        <w:tc>
          <w:tcPr>
            <w:tcW w:w="5056" w:type="dxa"/>
            <w:shd w:val="clear" w:color="auto" w:fill="auto"/>
          </w:tcPr>
          <w:p w14:paraId="6115DD55" w14:textId="4644A655" w:rsidR="00D755F8" w:rsidRPr="00441E95" w:rsidRDefault="00D755F8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pravna osoba odabrana za sudjelovanje u provedbi operacija putem </w:t>
            </w:r>
            <w:r w:rsidR="00662650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FI-ja</w:t>
            </w:r>
          </w:p>
        </w:tc>
        <w:tc>
          <w:tcPr>
            <w:tcW w:w="2401" w:type="dxa"/>
            <w:shd w:val="clear" w:color="auto" w:fill="auto"/>
          </w:tcPr>
          <w:p w14:paraId="64EE7042" w14:textId="71BF3A9A" w:rsidR="00192ED8" w:rsidRPr="00441E95" w:rsidRDefault="001C0C02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lang w:val="hr-HR"/>
              </w:rPr>
              <w:t>članak</w:t>
            </w:r>
            <w:r w:rsidR="00192ED8" w:rsidRPr="00441E95">
              <w:rPr>
                <w:rFonts w:ascii="Times New Roman" w:hAnsi="Times New Roman"/>
                <w:noProof w:val="0"/>
                <w:sz w:val="24"/>
                <w:lang w:val="hr-HR"/>
              </w:rPr>
              <w:t xml:space="preserve"> 137.</w:t>
            </w:r>
            <w:r w:rsidRPr="00441E95">
              <w:rPr>
                <w:rFonts w:ascii="Times New Roman" w:hAnsi="Times New Roman"/>
                <w:noProof w:val="0"/>
                <w:sz w:val="24"/>
                <w:lang w:val="hr-HR"/>
              </w:rPr>
              <w:t xml:space="preserve"> stavak </w:t>
            </w:r>
            <w:r w:rsidR="00192ED8" w:rsidRPr="00441E95">
              <w:rPr>
                <w:rFonts w:ascii="Times New Roman" w:hAnsi="Times New Roman"/>
                <w:noProof w:val="0"/>
                <w:sz w:val="24"/>
                <w:lang w:val="hr-HR"/>
              </w:rPr>
              <w:t>5</w:t>
            </w:r>
            <w:r w:rsidRPr="00441E95">
              <w:rPr>
                <w:rFonts w:ascii="Times New Roman" w:hAnsi="Times New Roman"/>
                <w:noProof w:val="0"/>
                <w:sz w:val="24"/>
                <w:lang w:val="hr-HR"/>
              </w:rPr>
              <w:t>.</w:t>
            </w:r>
            <w:r w:rsidR="00631593" w:rsidRPr="00441E95">
              <w:rPr>
                <w:rFonts w:ascii="Times New Roman" w:hAnsi="Times New Roman"/>
                <w:noProof w:val="0"/>
                <w:sz w:val="24"/>
                <w:lang w:val="hr-HR"/>
              </w:rPr>
              <w:t>,</w:t>
            </w:r>
          </w:p>
          <w:p w14:paraId="2A5571CA" w14:textId="1527D109" w:rsidR="00192ED8" w:rsidRPr="00441E95" w:rsidRDefault="001C0C02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lang w:val="hr-HR"/>
              </w:rPr>
              <w:t>članak</w:t>
            </w:r>
            <w:r w:rsidRPr="00441E95" w:rsidDel="001C0C02">
              <w:rPr>
                <w:rFonts w:ascii="Times New Roman" w:hAnsi="Times New Roman"/>
                <w:noProof w:val="0"/>
                <w:sz w:val="24"/>
                <w:lang w:val="hr-HR"/>
              </w:rPr>
              <w:t xml:space="preserve"> </w:t>
            </w:r>
            <w:r w:rsidR="00192ED8" w:rsidRPr="00441E95">
              <w:rPr>
                <w:rFonts w:ascii="Times New Roman" w:hAnsi="Times New Roman"/>
                <w:noProof w:val="0"/>
                <w:sz w:val="24"/>
                <w:lang w:val="hr-HR"/>
              </w:rPr>
              <w:t>155.</w:t>
            </w:r>
            <w:r w:rsidRPr="00441E95">
              <w:rPr>
                <w:rFonts w:ascii="Times New Roman" w:hAnsi="Times New Roman"/>
                <w:noProof w:val="0"/>
                <w:sz w:val="24"/>
                <w:lang w:val="hr-HR"/>
              </w:rPr>
              <w:t xml:space="preserve"> stavak</w:t>
            </w:r>
            <w:r w:rsidRPr="00441E95" w:rsidDel="001C0C02">
              <w:rPr>
                <w:rFonts w:ascii="Times New Roman" w:hAnsi="Times New Roman"/>
                <w:noProof w:val="0"/>
                <w:sz w:val="24"/>
                <w:lang w:val="hr-HR"/>
              </w:rPr>
              <w:t xml:space="preserve"> </w:t>
            </w:r>
            <w:r w:rsidR="00192ED8" w:rsidRPr="00441E95">
              <w:rPr>
                <w:rFonts w:ascii="Times New Roman" w:hAnsi="Times New Roman"/>
                <w:noProof w:val="0"/>
                <w:sz w:val="24"/>
                <w:lang w:val="hr-HR"/>
              </w:rPr>
              <w:t>2.b</w:t>
            </w:r>
            <w:r w:rsidR="00631593" w:rsidRPr="00441E95">
              <w:rPr>
                <w:rFonts w:ascii="Times New Roman" w:hAnsi="Times New Roman"/>
                <w:noProof w:val="0"/>
                <w:sz w:val="24"/>
                <w:lang w:val="hr-HR"/>
              </w:rPr>
              <w:t>,</w:t>
            </w:r>
          </w:p>
          <w:p w14:paraId="2AFB15BF" w14:textId="79DD550A" w:rsidR="00192ED8" w:rsidRPr="00441E95" w:rsidRDefault="001C0C02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lang w:val="hr-HR"/>
              </w:rPr>
              <w:t>članak</w:t>
            </w:r>
            <w:r w:rsidR="00192ED8" w:rsidRPr="00441E95">
              <w:rPr>
                <w:rFonts w:ascii="Times New Roman" w:hAnsi="Times New Roman"/>
                <w:noProof w:val="0"/>
                <w:sz w:val="24"/>
                <w:lang w:val="hr-HR"/>
              </w:rPr>
              <w:t xml:space="preserve"> 208.</w:t>
            </w:r>
            <w:r w:rsidRPr="00441E95">
              <w:rPr>
                <w:rFonts w:ascii="Times New Roman" w:hAnsi="Times New Roman"/>
                <w:noProof w:val="0"/>
                <w:sz w:val="24"/>
                <w:lang w:val="hr-HR"/>
              </w:rPr>
              <w:t xml:space="preserve"> stavak</w:t>
            </w:r>
            <w:r w:rsidRPr="00441E95" w:rsidDel="001C0C02">
              <w:rPr>
                <w:rFonts w:ascii="Times New Roman" w:hAnsi="Times New Roman"/>
                <w:noProof w:val="0"/>
                <w:sz w:val="24"/>
                <w:lang w:val="hr-HR"/>
              </w:rPr>
              <w:t xml:space="preserve"> </w:t>
            </w:r>
            <w:r w:rsidR="00192ED8" w:rsidRPr="00441E95">
              <w:rPr>
                <w:rFonts w:ascii="Times New Roman" w:hAnsi="Times New Roman"/>
                <w:noProof w:val="0"/>
                <w:sz w:val="24"/>
                <w:lang w:val="hr-HR"/>
              </w:rPr>
              <w:t>4</w:t>
            </w:r>
            <w:r w:rsidR="00662650" w:rsidRPr="00441E95">
              <w:rPr>
                <w:rFonts w:ascii="Times New Roman" w:hAnsi="Times New Roman"/>
                <w:noProof w:val="0"/>
                <w:sz w:val="24"/>
                <w:lang w:val="hr-HR"/>
              </w:rPr>
              <w:t>.</w:t>
            </w:r>
            <w:r w:rsidR="00631593" w:rsidRPr="00441E95">
              <w:rPr>
                <w:rFonts w:ascii="Times New Roman" w:hAnsi="Times New Roman"/>
                <w:noProof w:val="0"/>
                <w:sz w:val="24"/>
                <w:lang w:val="hr-HR"/>
              </w:rPr>
              <w:t xml:space="preserve"> i</w:t>
            </w:r>
          </w:p>
          <w:p w14:paraId="4A18386A" w14:textId="3B146B67" w:rsidR="00192ED8" w:rsidRPr="00441E95" w:rsidRDefault="001C0C02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članak</w:t>
            </w:r>
            <w:r w:rsidRPr="00441E95" w:rsidDel="001C0C02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</w:t>
            </w:r>
            <w:r w:rsidR="00192ED8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209.</w:t>
            </w:r>
            <w:r w:rsidR="00192ED8" w:rsidRPr="00441E95">
              <w:rPr>
                <w:rFonts w:ascii="Times New Roman" w:hAnsi="Times New Roman"/>
                <w:noProof w:val="0"/>
                <w:sz w:val="24"/>
                <w:lang w:val="hr-HR"/>
              </w:rPr>
              <w:t xml:space="preserve"> </w:t>
            </w:r>
          </w:p>
          <w:p w14:paraId="1ED8FAC5" w14:textId="10555A6B" w:rsidR="00D755F8" w:rsidRPr="00441E95" w:rsidRDefault="00192ED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lang w:val="hr-HR"/>
              </w:rPr>
              <w:t xml:space="preserve">Uredbe (EU, Euratom) 2018/1046 </w:t>
            </w:r>
          </w:p>
        </w:tc>
      </w:tr>
      <w:tr w:rsidR="00850478" w:rsidRPr="00441E95" w14:paraId="4FA1590C" w14:textId="77777777" w:rsidTr="00897D04">
        <w:tc>
          <w:tcPr>
            <w:tcW w:w="2148" w:type="dxa"/>
            <w:shd w:val="clear" w:color="auto" w:fill="auto"/>
          </w:tcPr>
          <w:p w14:paraId="2EDA5EE0" w14:textId="77777777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lastRenderedPageBreak/>
              <w:t>financijski proizvod</w:t>
            </w:r>
          </w:p>
          <w:p w14:paraId="0A767365" w14:textId="77777777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(eng. </w:t>
            </w:r>
            <w:r w:rsidRPr="00441E95">
              <w:rPr>
                <w:rFonts w:ascii="Times New Roman" w:hAnsi="Times New Roman"/>
                <w:i/>
                <w:noProof w:val="0"/>
                <w:sz w:val="24"/>
                <w:szCs w:val="24"/>
                <w:lang w:val="hr-HR"/>
              </w:rPr>
              <w:t>financial product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)</w:t>
            </w:r>
          </w:p>
        </w:tc>
        <w:tc>
          <w:tcPr>
            <w:tcW w:w="5056" w:type="dxa"/>
            <w:shd w:val="clear" w:color="auto" w:fill="auto"/>
          </w:tcPr>
          <w:p w14:paraId="7D35B01F" w14:textId="1969112F" w:rsidR="00D755F8" w:rsidRPr="00441E95" w:rsidRDefault="006626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FI</w:t>
            </w:r>
            <w:r w:rsidR="00D755F8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namijenjen ispunjavanju specifičnih potreba </w:t>
            </w:r>
          </w:p>
        </w:tc>
        <w:tc>
          <w:tcPr>
            <w:tcW w:w="2401" w:type="dxa"/>
            <w:shd w:val="clear" w:color="auto" w:fill="auto"/>
          </w:tcPr>
          <w:p w14:paraId="0FB28B94" w14:textId="2F5A8183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članak 37. stavak 2. točka </w:t>
            </w:r>
            <w:r w:rsidR="00622F81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(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e) i Prilog IV Uredbe (EU) br. 1303/2013</w:t>
            </w:r>
          </w:p>
        </w:tc>
      </w:tr>
      <w:tr w:rsidR="00850478" w:rsidRPr="00441E95" w14:paraId="0880E947" w14:textId="77777777" w:rsidTr="00897D04">
        <w:tc>
          <w:tcPr>
            <w:tcW w:w="2148" w:type="dxa"/>
            <w:shd w:val="clear" w:color="auto" w:fill="auto"/>
          </w:tcPr>
          <w:p w14:paraId="7BE2089B" w14:textId="7B59BE1B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fond fondova </w:t>
            </w:r>
            <w:r w:rsidR="003456B5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(FF)</w:t>
            </w:r>
          </w:p>
          <w:p w14:paraId="29712E0D" w14:textId="77777777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(eng. </w:t>
            </w:r>
            <w:r w:rsidRPr="00441E95">
              <w:rPr>
                <w:rFonts w:ascii="Times New Roman" w:hAnsi="Times New Roman"/>
                <w:i/>
                <w:noProof w:val="0"/>
                <w:sz w:val="24"/>
                <w:szCs w:val="24"/>
                <w:lang w:val="hr-HR"/>
              </w:rPr>
              <w:t>fund of funds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)</w:t>
            </w:r>
          </w:p>
        </w:tc>
        <w:tc>
          <w:tcPr>
            <w:tcW w:w="5056" w:type="dxa"/>
            <w:shd w:val="clear" w:color="auto" w:fill="auto"/>
          </w:tcPr>
          <w:p w14:paraId="7600796B" w14:textId="6EC4E57A" w:rsidR="00D755F8" w:rsidRPr="00441E95" w:rsidRDefault="00D755F8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fond osnovan s ciljem pružanja potpore za nekoliko </w:t>
            </w:r>
            <w:r w:rsidR="00662650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FI-jeva</w:t>
            </w:r>
          </w:p>
        </w:tc>
        <w:tc>
          <w:tcPr>
            <w:tcW w:w="2401" w:type="dxa"/>
            <w:shd w:val="clear" w:color="auto" w:fill="auto"/>
          </w:tcPr>
          <w:p w14:paraId="0B3EEFC4" w14:textId="3E274147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članak 2. stavak 1. točka </w:t>
            </w:r>
            <w:r w:rsidR="00622F81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(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27) Uredbe (EU) br. 1303/2013</w:t>
            </w:r>
          </w:p>
        </w:tc>
      </w:tr>
      <w:tr w:rsidR="00850478" w:rsidRPr="00441E95" w14:paraId="42CCEA9A" w14:textId="77777777" w:rsidTr="00897D04">
        <w:tc>
          <w:tcPr>
            <w:tcW w:w="2148" w:type="dxa"/>
            <w:shd w:val="clear" w:color="auto" w:fill="auto"/>
          </w:tcPr>
          <w:p w14:paraId="54820FAD" w14:textId="77777777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instrument podjele rizika</w:t>
            </w:r>
          </w:p>
          <w:p w14:paraId="1CA0333F" w14:textId="77777777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(eng. </w:t>
            </w:r>
            <w:r w:rsidRPr="00441E95">
              <w:rPr>
                <w:rFonts w:ascii="Times New Roman" w:hAnsi="Times New Roman"/>
                <w:i/>
                <w:noProof w:val="0"/>
                <w:sz w:val="24"/>
                <w:szCs w:val="24"/>
                <w:lang w:val="hr-HR"/>
              </w:rPr>
              <w:t>risk-sharing instrument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)</w:t>
            </w:r>
          </w:p>
        </w:tc>
        <w:tc>
          <w:tcPr>
            <w:tcW w:w="5056" w:type="dxa"/>
            <w:shd w:val="clear" w:color="auto" w:fill="auto"/>
          </w:tcPr>
          <w:p w14:paraId="48DAB1BB" w14:textId="12A47C5F" w:rsidR="00D755F8" w:rsidRPr="00441E95" w:rsidRDefault="006626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FI</w:t>
            </w:r>
            <w:r w:rsidR="00D755F8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koji omogućuje podjelu određenog rizika između dva ili više subjekata, a prema potrebi u zamjenu za ugovorenu naknadu </w:t>
            </w:r>
          </w:p>
        </w:tc>
        <w:tc>
          <w:tcPr>
            <w:tcW w:w="2401" w:type="dxa"/>
            <w:shd w:val="clear" w:color="auto" w:fill="auto"/>
          </w:tcPr>
          <w:p w14:paraId="26F6B2AD" w14:textId="0E207CCE" w:rsidR="00192ED8" w:rsidRPr="00441E95" w:rsidRDefault="001C0C02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članak</w:t>
            </w:r>
            <w:r w:rsidR="00192ED8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2. 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stavak</w:t>
            </w:r>
            <w:r w:rsidR="00192ED8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57. Uredbe (EU, Euratom) 2018/1046</w:t>
            </w:r>
          </w:p>
          <w:p w14:paraId="08E13578" w14:textId="1BA098AD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850478" w:rsidRPr="00441E95" w14:paraId="4E76597F" w14:textId="77777777" w:rsidTr="00897D04">
        <w:tc>
          <w:tcPr>
            <w:tcW w:w="2148" w:type="dxa"/>
            <w:shd w:val="clear" w:color="auto" w:fill="auto"/>
          </w:tcPr>
          <w:p w14:paraId="4A50DDA7" w14:textId="0F609CD1" w:rsidR="00D755F8" w:rsidRPr="00441E95" w:rsidRDefault="00C31C8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investicijska strategija</w:t>
            </w:r>
          </w:p>
          <w:p w14:paraId="1B5422FE" w14:textId="77777777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(eng. </w:t>
            </w:r>
            <w:r w:rsidRPr="00441E95">
              <w:rPr>
                <w:rFonts w:ascii="Times New Roman" w:hAnsi="Times New Roman"/>
                <w:i/>
                <w:noProof w:val="0"/>
                <w:sz w:val="24"/>
                <w:szCs w:val="24"/>
                <w:lang w:val="hr-HR"/>
              </w:rPr>
              <w:t>investment strategy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)</w:t>
            </w:r>
          </w:p>
        </w:tc>
        <w:tc>
          <w:tcPr>
            <w:tcW w:w="5056" w:type="dxa"/>
            <w:shd w:val="clear" w:color="auto" w:fill="auto"/>
          </w:tcPr>
          <w:p w14:paraId="05CF1D27" w14:textId="629902F3" w:rsidR="00D755F8" w:rsidRPr="00441E95" w:rsidRDefault="00D755F8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dio </w:t>
            </w:r>
            <w:r w:rsidRPr="00441E95">
              <w:rPr>
                <w:rFonts w:ascii="Times New Roman" w:hAnsi="Times New Roman"/>
                <w:i/>
                <w:noProof w:val="0"/>
                <w:sz w:val="24"/>
                <w:szCs w:val="24"/>
                <w:lang w:val="hr-HR"/>
              </w:rPr>
              <w:t xml:space="preserve">ex ante 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analize koji okvirno prikazuje provedbeni mehanizam, financijske proizvode koji se nude, ciljane krajnje primatelje </w:t>
            </w:r>
            <w:r w:rsidR="004755C4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(KP) 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 po potrebi kombinacije s bespovratnom potporom</w:t>
            </w:r>
          </w:p>
        </w:tc>
        <w:tc>
          <w:tcPr>
            <w:tcW w:w="2401" w:type="dxa"/>
            <w:shd w:val="clear" w:color="auto" w:fill="auto"/>
          </w:tcPr>
          <w:p w14:paraId="759E2174" w14:textId="03000D99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članak 37. stavak 2. točka </w:t>
            </w:r>
            <w:r w:rsidR="00622F81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(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e) Uredbe (EU) br. 1303/2013</w:t>
            </w:r>
          </w:p>
        </w:tc>
      </w:tr>
      <w:tr w:rsidR="00850478" w:rsidRPr="00441E95" w14:paraId="0C3F4E4B" w14:textId="77777777" w:rsidTr="00897D04">
        <w:tc>
          <w:tcPr>
            <w:tcW w:w="2148" w:type="dxa"/>
            <w:shd w:val="clear" w:color="auto" w:fill="auto"/>
          </w:tcPr>
          <w:p w14:paraId="2D544ECE" w14:textId="77777777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jamstvo</w:t>
            </w:r>
          </w:p>
          <w:p w14:paraId="165FFD5F" w14:textId="77777777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(engl. </w:t>
            </w:r>
            <w:r w:rsidRPr="00441E95">
              <w:rPr>
                <w:rFonts w:ascii="Times New Roman" w:hAnsi="Times New Roman"/>
                <w:i/>
                <w:noProof w:val="0"/>
                <w:sz w:val="24"/>
                <w:szCs w:val="24"/>
                <w:lang w:val="hr-HR"/>
              </w:rPr>
              <w:t>guarantee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)</w:t>
            </w:r>
          </w:p>
        </w:tc>
        <w:tc>
          <w:tcPr>
            <w:tcW w:w="5056" w:type="dxa"/>
            <w:shd w:val="clear" w:color="auto" w:fill="auto"/>
          </w:tcPr>
          <w:p w14:paraId="7B87D264" w14:textId="4DC1A3DF" w:rsidR="00D755F8" w:rsidRPr="00441E95" w:rsidRDefault="00A8458F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znači pisana obveza preuzimanja odgovornosti za cijeli dug ili obvezu</w:t>
            </w:r>
            <w:r w:rsidR="001B1A1B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,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ili dio duga ili obveze treće strane, ili za uspješno ispunjavanje obveza od strane te treće strane, ako nastupi događaj koji aktivira to jamstvo, kao što je neplaćanje zajma</w:t>
            </w:r>
          </w:p>
        </w:tc>
        <w:tc>
          <w:tcPr>
            <w:tcW w:w="2401" w:type="dxa"/>
            <w:shd w:val="clear" w:color="auto" w:fill="auto"/>
          </w:tcPr>
          <w:p w14:paraId="249F3EF7" w14:textId="18B88F1C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članak 2. stavak </w:t>
            </w:r>
            <w:r w:rsidR="00192ED8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34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. </w:t>
            </w:r>
            <w:r w:rsidR="00192ED8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Uredbe (EU, Euratom) 2018/1046</w:t>
            </w:r>
          </w:p>
        </w:tc>
      </w:tr>
      <w:tr w:rsidR="00850478" w:rsidRPr="00441E95" w14:paraId="1D3A8BA2" w14:textId="77777777" w:rsidTr="00897D04">
        <w:tc>
          <w:tcPr>
            <w:tcW w:w="2148" w:type="dxa"/>
            <w:shd w:val="clear" w:color="auto" w:fill="auto"/>
          </w:tcPr>
          <w:p w14:paraId="73AB4E70" w14:textId="77777777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kontrola</w:t>
            </w:r>
          </w:p>
          <w:p w14:paraId="0DED0B90" w14:textId="77777777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(eng. </w:t>
            </w:r>
            <w:r w:rsidRPr="00441E95">
              <w:rPr>
                <w:rFonts w:ascii="Times New Roman" w:hAnsi="Times New Roman"/>
                <w:i/>
                <w:noProof w:val="0"/>
                <w:sz w:val="24"/>
                <w:szCs w:val="24"/>
                <w:lang w:val="hr-HR"/>
              </w:rPr>
              <w:t>control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)</w:t>
            </w:r>
          </w:p>
        </w:tc>
        <w:tc>
          <w:tcPr>
            <w:tcW w:w="5056" w:type="dxa"/>
            <w:shd w:val="clear" w:color="auto" w:fill="auto"/>
          </w:tcPr>
          <w:p w14:paraId="59E143F1" w14:textId="0ED47B1F" w:rsidR="00D755F8" w:rsidRPr="00441E95" w:rsidRDefault="00896079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znači svaka mjera poduzeta u svrhu pružanja razumnog jamstva u pogledu djelotvornosti, učinkovitosti i ekonomičnosti operacija, pouzdanosti izvješćivanja, zaštite imovine i informacija, sprečavanja, otkrivanja i ispravljanja prijevara i nepravilnosti te daljnjeg postupanja u vezi s njima, te odgovarajućeg upravljanja rizicima u pogledu zakonitosti i pravilnosti temeljnih transakcija, uzimajući u obzir višegodišnju narav programâ kao i narav dotičnih plaćanja. Kontrole mogu uključivati razne provjere te provedbu bilo kojih politika i postupaka za postizanje ciljeva iz prve rečenice</w:t>
            </w:r>
          </w:p>
        </w:tc>
        <w:tc>
          <w:tcPr>
            <w:tcW w:w="2401" w:type="dxa"/>
            <w:shd w:val="clear" w:color="auto" w:fill="auto"/>
          </w:tcPr>
          <w:p w14:paraId="31F849F8" w14:textId="232B6D99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članak 2. stavak </w:t>
            </w:r>
            <w:r w:rsidR="00192ED8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19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. </w:t>
            </w:r>
            <w:r w:rsidR="00192ED8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Uredbe (EU, Euratom) 2018/1046</w:t>
            </w:r>
          </w:p>
        </w:tc>
      </w:tr>
      <w:tr w:rsidR="00850478" w:rsidRPr="00441E95" w14:paraId="58EFA6E6" w14:textId="77777777" w:rsidTr="00897D04">
        <w:tc>
          <w:tcPr>
            <w:tcW w:w="2148" w:type="dxa"/>
            <w:shd w:val="clear" w:color="auto" w:fill="auto"/>
          </w:tcPr>
          <w:p w14:paraId="571A6797" w14:textId="0E48E444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5056" w:type="dxa"/>
            <w:shd w:val="clear" w:color="auto" w:fill="auto"/>
          </w:tcPr>
          <w:p w14:paraId="2B04E792" w14:textId="6DF9B9AC" w:rsidR="00D755F8" w:rsidRPr="00441E95" w:rsidRDefault="00D755F8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401" w:type="dxa"/>
            <w:shd w:val="clear" w:color="auto" w:fill="auto"/>
          </w:tcPr>
          <w:p w14:paraId="76348C1A" w14:textId="766DEA83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850478" w:rsidRPr="00441E95" w14:paraId="7F470088" w14:textId="77777777" w:rsidTr="00897D04">
        <w:tc>
          <w:tcPr>
            <w:tcW w:w="2148" w:type="dxa"/>
            <w:shd w:val="clear" w:color="auto" w:fill="auto"/>
          </w:tcPr>
          <w:p w14:paraId="7CE29D4B" w14:textId="77777777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korisnik</w:t>
            </w:r>
          </w:p>
          <w:p w14:paraId="1CB93AFD" w14:textId="77777777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(eng. </w:t>
            </w:r>
            <w:r w:rsidRPr="00441E95">
              <w:rPr>
                <w:rFonts w:ascii="Times New Roman" w:hAnsi="Times New Roman"/>
                <w:i/>
                <w:noProof w:val="0"/>
                <w:sz w:val="24"/>
                <w:szCs w:val="24"/>
                <w:lang w:val="hr-HR"/>
              </w:rPr>
              <w:t>beneficiary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)</w:t>
            </w:r>
          </w:p>
        </w:tc>
        <w:tc>
          <w:tcPr>
            <w:tcW w:w="5056" w:type="dxa"/>
            <w:shd w:val="clear" w:color="auto" w:fill="auto"/>
          </w:tcPr>
          <w:p w14:paraId="26055113" w14:textId="2DE189F2" w:rsidR="00E51033" w:rsidRPr="00441E95" w:rsidRDefault="00E51033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tijelo koje provodi </w:t>
            </w:r>
            <w:r w:rsidR="0022555B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financijski instrument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</w:t>
            </w:r>
            <w:r w:rsidR="005E71EA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(TPFI) 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ili, kada je primjenjivo, </w:t>
            </w:r>
            <w:r w:rsidR="0022555B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FF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;</w:t>
            </w:r>
          </w:p>
          <w:p w14:paraId="0918AF64" w14:textId="71CA8A3D" w:rsidR="00D755F8" w:rsidRPr="00441E95" w:rsidRDefault="00D755F8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pravna osoba javnog ili privatnog prava, uključujući osobe privatnog prava registrirane za obavljanje gospodarske djelatnosti i subjekte malog gospodarstva kako su definirani u članku 1. Priloga Preporuci Europske komisije 2003/361/EZ, odgovorna za pokretanje i provedbu operacija; u kontekstu državnih potpora korisnik je tijelo koje prima potporu</w:t>
            </w:r>
          </w:p>
        </w:tc>
        <w:tc>
          <w:tcPr>
            <w:tcW w:w="2401" w:type="dxa"/>
            <w:shd w:val="clear" w:color="auto" w:fill="auto"/>
          </w:tcPr>
          <w:p w14:paraId="130D3AA4" w14:textId="022640AC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članak 2. točka </w:t>
            </w:r>
            <w:r w:rsidR="00622F81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(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10</w:t>
            </w:r>
            <w:r w:rsidR="00622F81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)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Uredbe (EU) br. 1303/2013</w:t>
            </w:r>
            <w:r w:rsidR="00631593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;</w:t>
            </w:r>
          </w:p>
          <w:p w14:paraId="2D2D8C8A" w14:textId="50B0D57C" w:rsidR="00120F57" w:rsidRPr="00441E95" w:rsidRDefault="00120F57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članak 1. Priloga Preporuci Europske komisije 2003/361/EZ</w:t>
            </w:r>
          </w:p>
          <w:p w14:paraId="7D8F589A" w14:textId="03C983C1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850478" w:rsidRPr="00441E95" w14:paraId="6C709762" w14:textId="77777777" w:rsidTr="00897D04">
        <w:tc>
          <w:tcPr>
            <w:tcW w:w="2148" w:type="dxa"/>
            <w:shd w:val="clear" w:color="auto" w:fill="FFFFFF" w:themeFill="background1"/>
          </w:tcPr>
          <w:p w14:paraId="61EC5385" w14:textId="24CB20D2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lastRenderedPageBreak/>
              <w:t>krajnji primatelj</w:t>
            </w:r>
            <w:r w:rsidR="003456B5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(KP)</w:t>
            </w:r>
          </w:p>
          <w:p w14:paraId="424D07BB" w14:textId="77777777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(eng. </w:t>
            </w:r>
            <w:r w:rsidRPr="00441E95">
              <w:rPr>
                <w:rFonts w:ascii="Times New Roman" w:hAnsi="Times New Roman"/>
                <w:i/>
                <w:noProof w:val="0"/>
                <w:sz w:val="24"/>
                <w:szCs w:val="24"/>
                <w:lang w:val="hr-HR"/>
              </w:rPr>
              <w:t>final recipient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) </w:t>
            </w:r>
          </w:p>
        </w:tc>
        <w:tc>
          <w:tcPr>
            <w:tcW w:w="5056" w:type="dxa"/>
            <w:shd w:val="clear" w:color="auto" w:fill="auto"/>
          </w:tcPr>
          <w:p w14:paraId="608F83BB" w14:textId="3764F6ED" w:rsidR="00E51033" w:rsidRPr="00441E95" w:rsidRDefault="00E51033" w:rsidP="00E51033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pravna ili fizička osoba koja prima financijsku potporu iz </w:t>
            </w:r>
            <w:r w:rsidR="005A184B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FI-ja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;</w:t>
            </w:r>
          </w:p>
          <w:p w14:paraId="202E78C9" w14:textId="5B52E513" w:rsidR="00D755F8" w:rsidRPr="00441E95" w:rsidRDefault="00D755F8" w:rsidP="00E51033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pravna osoba javnog ili privatnog prava, uključujući osobe privatnog prava registrirane za obavljanje gospodarske djelatnosti i subjekte malog gospodarstva kako su definirani u članku 1. Priloga Preporuke Europske komisije 2003/361/EZ, </w:t>
            </w:r>
          </w:p>
        </w:tc>
        <w:tc>
          <w:tcPr>
            <w:tcW w:w="2401" w:type="dxa"/>
            <w:shd w:val="clear" w:color="auto" w:fill="FFFFFF" w:themeFill="background1"/>
          </w:tcPr>
          <w:p w14:paraId="31DC876B" w14:textId="6497F0D5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članak 2. stavak 12. Uredbe (EU) br. 1303/2013</w:t>
            </w:r>
            <w:r w:rsidR="00631593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;</w:t>
            </w:r>
          </w:p>
          <w:p w14:paraId="7443E9E3" w14:textId="162AF4E7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članak 1. </w:t>
            </w:r>
            <w:r w:rsidR="00120F57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Priloga Preporuci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Europske komisije 2003/361/EZ</w:t>
            </w:r>
          </w:p>
        </w:tc>
      </w:tr>
      <w:tr w:rsidR="00850478" w:rsidRPr="00441E95" w14:paraId="12525251" w14:textId="77777777" w:rsidTr="00897D04">
        <w:tc>
          <w:tcPr>
            <w:tcW w:w="2148" w:type="dxa"/>
            <w:shd w:val="clear" w:color="auto" w:fill="auto"/>
          </w:tcPr>
          <w:p w14:paraId="366C766D" w14:textId="77777777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naknade za upravljanje </w:t>
            </w:r>
          </w:p>
          <w:p w14:paraId="7A07F5C2" w14:textId="77777777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(eng. </w:t>
            </w:r>
            <w:r w:rsidRPr="00441E95">
              <w:rPr>
                <w:rFonts w:ascii="Times New Roman" w:hAnsi="Times New Roman"/>
                <w:i/>
                <w:noProof w:val="0"/>
                <w:sz w:val="24"/>
                <w:szCs w:val="24"/>
                <w:lang w:val="hr-HR"/>
              </w:rPr>
              <w:t>management fees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)</w:t>
            </w:r>
          </w:p>
        </w:tc>
        <w:tc>
          <w:tcPr>
            <w:tcW w:w="5056" w:type="dxa"/>
            <w:shd w:val="clear" w:color="auto" w:fill="auto"/>
          </w:tcPr>
          <w:p w14:paraId="1E6BFC3B" w14:textId="09020415" w:rsidR="00D755F8" w:rsidRPr="00441E95" w:rsidRDefault="00D755F8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naknade koje se odnose na dogovorenu cijenu pruženih usluga koj</w:t>
            </w:r>
            <w:r w:rsidR="006A265F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a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je određena natjecateljskim tržišnim postupkom, a metodologija izračuna temelji se na uspješnosti u skladu s člancima 12., 13. i 14. Delegirane Uredbe (EU) br. 480/2014 </w:t>
            </w:r>
          </w:p>
        </w:tc>
        <w:tc>
          <w:tcPr>
            <w:tcW w:w="2401" w:type="dxa"/>
            <w:shd w:val="clear" w:color="auto" w:fill="auto"/>
          </w:tcPr>
          <w:p w14:paraId="2FB81483" w14:textId="77777777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članak 42. stavak 5. Uredbe (EU) br. 1303/2013</w:t>
            </w:r>
          </w:p>
          <w:p w14:paraId="43F7BE74" w14:textId="77777777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850478" w:rsidRPr="00441E95" w14:paraId="64EFA1BD" w14:textId="77777777" w:rsidTr="00897D04">
        <w:tc>
          <w:tcPr>
            <w:tcW w:w="2148" w:type="dxa"/>
            <w:shd w:val="clear" w:color="auto" w:fill="FFFFFF" w:themeFill="background1"/>
          </w:tcPr>
          <w:p w14:paraId="7B2CAFA9" w14:textId="77777777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operacija</w:t>
            </w:r>
          </w:p>
          <w:p w14:paraId="7C5BD61C" w14:textId="77777777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shd w:val="clear" w:color="auto" w:fill="FFFFFF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(eng. </w:t>
            </w:r>
            <w:r w:rsidRPr="00441E95">
              <w:rPr>
                <w:rFonts w:ascii="Times New Roman" w:hAnsi="Times New Roman"/>
                <w:i/>
                <w:noProof w:val="0"/>
                <w:sz w:val="24"/>
                <w:szCs w:val="24"/>
                <w:lang w:val="hr-HR"/>
              </w:rPr>
              <w:t>operation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)</w:t>
            </w:r>
          </w:p>
        </w:tc>
        <w:tc>
          <w:tcPr>
            <w:tcW w:w="5056" w:type="dxa"/>
            <w:shd w:val="clear" w:color="auto" w:fill="FFFFFF" w:themeFill="background1"/>
          </w:tcPr>
          <w:p w14:paraId="6A31E9C7" w14:textId="0253892D" w:rsidR="00D755F8" w:rsidRPr="00441E95" w:rsidRDefault="00AF101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znači projekt, ugovor, aktivnost ili skupina projekata koje su odabral</w:t>
            </w:r>
            <w:r w:rsidR="006A265F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</w:t>
            </w:r>
            <w:r w:rsidR="006A265F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UT-ovi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dotičnih programa ili koji su pod njihovom odgovornošću te koji doprinose ostvarivanju ciljeva jednog ili više prioriteta na koje se odnose. U kontekstu </w:t>
            </w:r>
            <w:r w:rsidR="00F83E77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FI-j</w:t>
            </w:r>
            <w:r w:rsidR="008A0F8C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eva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operaciju čine financijski doprinosi iz programa u </w:t>
            </w:r>
            <w:r w:rsidR="00F83E77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FI-je</w:t>
            </w:r>
            <w:r w:rsidR="00C52DD7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ve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i naknadna financijska potpora koju pružaju ti </w:t>
            </w:r>
            <w:r w:rsidR="00F83E77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FI-jevi</w:t>
            </w:r>
          </w:p>
        </w:tc>
        <w:tc>
          <w:tcPr>
            <w:tcW w:w="2401" w:type="dxa"/>
            <w:shd w:val="clear" w:color="auto" w:fill="FFFFFF" w:themeFill="background1"/>
          </w:tcPr>
          <w:p w14:paraId="17E27001" w14:textId="59C22D62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članak 2. stavak 1. točka </w:t>
            </w:r>
            <w:r w:rsidR="00622F81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(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9</w:t>
            </w:r>
            <w:r w:rsidR="00622F81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)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Uredbe (EU) br. 1303/2013 </w:t>
            </w:r>
          </w:p>
        </w:tc>
      </w:tr>
      <w:tr w:rsidR="00850478" w:rsidRPr="00441E95" w14:paraId="7925B6EE" w14:textId="77777777" w:rsidTr="00897D04">
        <w:tc>
          <w:tcPr>
            <w:tcW w:w="2148" w:type="dxa"/>
            <w:shd w:val="clear" w:color="auto" w:fill="FFFFFF" w:themeFill="background1"/>
          </w:tcPr>
          <w:p w14:paraId="581CC585" w14:textId="77777777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OPKK</w:t>
            </w:r>
          </w:p>
        </w:tc>
        <w:tc>
          <w:tcPr>
            <w:tcW w:w="5056" w:type="dxa"/>
            <w:shd w:val="clear" w:color="auto" w:fill="FFFFFF" w:themeFill="background1"/>
          </w:tcPr>
          <w:p w14:paraId="62D274CD" w14:textId="71905852" w:rsidR="00D755F8" w:rsidRPr="00441E95" w:rsidRDefault="00D755F8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Operativni 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shd w:val="clear" w:color="auto" w:fill="FFFFFF" w:themeFill="background1"/>
                <w:lang w:val="hr-HR"/>
              </w:rPr>
              <w:t xml:space="preserve">program </w:t>
            </w:r>
            <w:r w:rsidR="00F83E77" w:rsidRPr="00441E95">
              <w:rPr>
                <w:rFonts w:ascii="Times New Roman" w:hAnsi="Times New Roman"/>
                <w:noProof w:val="0"/>
                <w:sz w:val="24"/>
                <w:szCs w:val="24"/>
                <w:shd w:val="clear" w:color="auto" w:fill="FFFFFF" w:themeFill="background1"/>
                <w:lang w:val="hr-HR"/>
              </w:rPr>
              <w:t>„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shd w:val="clear" w:color="auto" w:fill="FFFFFF" w:themeFill="background1"/>
                <w:lang w:val="hr-HR"/>
              </w:rPr>
              <w:t>Konkurentnost i kohezija 2014.-2020</w:t>
            </w:r>
            <w:r w:rsidR="00F83E77" w:rsidRPr="00441E95">
              <w:rPr>
                <w:rFonts w:ascii="Times New Roman" w:hAnsi="Times New Roman"/>
                <w:noProof w:val="0"/>
                <w:sz w:val="24"/>
                <w:szCs w:val="24"/>
                <w:shd w:val="clear" w:color="auto" w:fill="FFFFFF" w:themeFill="background1"/>
                <w:lang w:val="hr-HR"/>
              </w:rPr>
              <w:t xml:space="preserve">.“, 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shd w:val="clear" w:color="auto" w:fill="FFFFFF" w:themeFill="background1"/>
                <w:lang w:val="hr-HR"/>
              </w:rPr>
              <w:t>usvojen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12. prosinca 2014. godine</w:t>
            </w:r>
          </w:p>
        </w:tc>
        <w:tc>
          <w:tcPr>
            <w:tcW w:w="2401" w:type="dxa"/>
            <w:shd w:val="clear" w:color="auto" w:fill="FFFFFF" w:themeFill="background1"/>
          </w:tcPr>
          <w:p w14:paraId="3ED7D57B" w14:textId="68E435AE" w:rsidR="00D755F8" w:rsidRPr="00441E95" w:rsidRDefault="00D755F8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članak 4. stavak 2. podstavak 1. točka a) Zakona </w:t>
            </w:r>
            <w:r w:rsidR="00AF1012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o uspostavi institucionalnog okvira za provedbu europskih strukturnih i investicijskih fondova u Republici Hrvatskoj u razdoblju 2014-2020</w:t>
            </w:r>
            <w:r w:rsidR="00EF548A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.</w:t>
            </w:r>
          </w:p>
        </w:tc>
      </w:tr>
      <w:tr w:rsidR="00220BBE" w:rsidRPr="00441E95" w:rsidDel="00093EA8" w14:paraId="0F996698" w14:textId="77777777" w:rsidTr="00897D04">
        <w:tc>
          <w:tcPr>
            <w:tcW w:w="2148" w:type="dxa"/>
            <w:shd w:val="clear" w:color="auto" w:fill="FFFFFF" w:themeFill="background1"/>
          </w:tcPr>
          <w:p w14:paraId="36E7D434" w14:textId="49992478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(fiducijarni) namjenski račun</w:t>
            </w:r>
          </w:p>
          <w:p w14:paraId="76C49F96" w14:textId="77777777" w:rsidR="00220BBE" w:rsidRPr="00441E95" w:rsidDel="00093EA8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5056" w:type="dxa"/>
            <w:shd w:val="clear" w:color="auto" w:fill="FFFFFF" w:themeFill="background1"/>
          </w:tcPr>
          <w:p w14:paraId="702B2F61" w14:textId="3F07CA41" w:rsidR="00220BBE" w:rsidRPr="00441E95" w:rsidDel="00093EA8" w:rsidRDefault="00220BBE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računi koje </w:t>
            </w:r>
            <w:r w:rsidR="00AF6532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na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svoje ime i </w:t>
            </w:r>
            <w:r w:rsidR="00AF6532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u ime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</w:t>
            </w:r>
            <w:r w:rsidR="00F83E77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UT-a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otvaraju tijela kojima su povjereni zadaci provedbe </w:t>
            </w:r>
            <w:r w:rsidR="00F83E77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FI-ja</w:t>
            </w:r>
          </w:p>
        </w:tc>
        <w:tc>
          <w:tcPr>
            <w:tcW w:w="2401" w:type="dxa"/>
            <w:shd w:val="clear" w:color="auto" w:fill="FFFFFF" w:themeFill="background1"/>
          </w:tcPr>
          <w:p w14:paraId="43C5A00A" w14:textId="77777777" w:rsidR="00220BBE" w:rsidRPr="00441E95" w:rsidDel="00093EA8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članak 38. stavak 6. Uredbe (EU) br. 1303/2013</w:t>
            </w:r>
          </w:p>
        </w:tc>
      </w:tr>
      <w:tr w:rsidR="00220BBE" w:rsidRPr="00441E95" w14:paraId="083A699B" w14:textId="77777777" w:rsidTr="00897D04">
        <w:tc>
          <w:tcPr>
            <w:tcW w:w="2148" w:type="dxa"/>
            <w:shd w:val="clear" w:color="auto" w:fill="FFFFFF" w:themeFill="background1"/>
          </w:tcPr>
          <w:p w14:paraId="0B018939" w14:textId="77777777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prijavitelj</w:t>
            </w:r>
          </w:p>
          <w:p w14:paraId="54FA056E" w14:textId="77777777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(eng. </w:t>
            </w:r>
            <w:r w:rsidRPr="00441E95">
              <w:rPr>
                <w:rFonts w:ascii="Times New Roman" w:hAnsi="Times New Roman"/>
                <w:i/>
                <w:noProof w:val="0"/>
                <w:sz w:val="24"/>
                <w:szCs w:val="24"/>
                <w:lang w:val="hr-HR"/>
              </w:rPr>
              <w:t>applicant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)</w:t>
            </w:r>
          </w:p>
        </w:tc>
        <w:tc>
          <w:tcPr>
            <w:tcW w:w="5056" w:type="dxa"/>
            <w:shd w:val="clear" w:color="auto" w:fill="FFFFFF" w:themeFill="background1"/>
          </w:tcPr>
          <w:p w14:paraId="16AF2FDE" w14:textId="7E967362" w:rsidR="00220BBE" w:rsidRPr="00441E95" w:rsidRDefault="00220BBE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pravna osoba javnog ili privatnog prava, uključujući osobe privatnog prava registrirane za obavljanje gospodarske djelatnosti i subjekte malog gospodarstva kako su definirani u članku 1. Priloga Preporuci Europske komisije 2003/361/EZ, koja podnosi prijavu za potporu kroz </w:t>
            </w:r>
            <w:r w:rsidR="00F83E77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FI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</w:t>
            </w:r>
            <w:r w:rsidR="009915D3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FP-u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ili tijelu iz članka 38. stavka 4. točke </w:t>
            </w:r>
            <w:r w:rsidR="00622F81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(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b) Uredbe (EU) br. 1303/2013 u svojstvu </w:t>
            </w:r>
            <w:r w:rsidR="009915D3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FP-a</w:t>
            </w:r>
          </w:p>
        </w:tc>
        <w:tc>
          <w:tcPr>
            <w:tcW w:w="2401" w:type="dxa"/>
            <w:shd w:val="clear" w:color="auto" w:fill="FFFFFF" w:themeFill="background1"/>
          </w:tcPr>
          <w:p w14:paraId="3E00DF4E" w14:textId="33FF0D1F" w:rsidR="00120F57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ZNP </w:t>
            </w:r>
            <w:r w:rsidR="00244843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br. 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00 Zajedničko poglavlje</w:t>
            </w:r>
            <w:r w:rsidR="00631593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;</w:t>
            </w:r>
          </w:p>
          <w:p w14:paraId="3D643BF7" w14:textId="6AE3A6D6" w:rsidR="00120F57" w:rsidRPr="00441E95" w:rsidRDefault="00120F57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članak 1. Priloga Preporuci Europske komisije 2003/361/EZ</w:t>
            </w:r>
          </w:p>
          <w:p w14:paraId="59CC287F" w14:textId="6CD56019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220BBE" w:rsidRPr="00441E95" w14:paraId="79305AEA" w14:textId="77777777" w:rsidTr="00897D04">
        <w:tc>
          <w:tcPr>
            <w:tcW w:w="2148" w:type="dxa"/>
            <w:shd w:val="clear" w:color="auto" w:fill="FFFFFF" w:themeFill="background1"/>
          </w:tcPr>
          <w:p w14:paraId="43F20E24" w14:textId="77777777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provjera</w:t>
            </w:r>
          </w:p>
          <w:p w14:paraId="381542B6" w14:textId="77777777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(eng. </w:t>
            </w:r>
            <w:r w:rsidRPr="00441E95">
              <w:rPr>
                <w:rFonts w:ascii="Times New Roman" w:hAnsi="Times New Roman"/>
                <w:i/>
                <w:noProof w:val="0"/>
                <w:sz w:val="24"/>
                <w:szCs w:val="24"/>
                <w:lang w:val="hr-HR"/>
              </w:rPr>
              <w:t>check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)</w:t>
            </w:r>
          </w:p>
        </w:tc>
        <w:tc>
          <w:tcPr>
            <w:tcW w:w="5056" w:type="dxa"/>
            <w:shd w:val="clear" w:color="auto" w:fill="FFFFFF" w:themeFill="background1"/>
          </w:tcPr>
          <w:p w14:paraId="22AD0C79" w14:textId="77777777" w:rsidR="00220BBE" w:rsidRPr="00441E95" w:rsidRDefault="00220BBE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provjera specifičnih aspekata neke operacije, prihoda ili izdataka, koja uključuje provjere 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lastRenderedPageBreak/>
              <w:t>prihvatljivosti troškova operacije, odnosno pojedinih transakcija</w:t>
            </w:r>
          </w:p>
        </w:tc>
        <w:tc>
          <w:tcPr>
            <w:tcW w:w="2401" w:type="dxa"/>
            <w:shd w:val="clear" w:color="auto" w:fill="FFFFFF" w:themeFill="background1"/>
          </w:tcPr>
          <w:p w14:paraId="63C434F4" w14:textId="67A3700E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lastRenderedPageBreak/>
              <w:t xml:space="preserve">prema članku 40. stavku 5. Uredbe (EU) br. 1303/2013 i 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lastRenderedPageBreak/>
              <w:t>naslovnima i sadržaju člank</w:t>
            </w:r>
            <w:r w:rsidR="00BB2DCC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a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</w:t>
            </w:r>
            <w:r w:rsidR="00C31C88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9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. Delegirane uredbe (EU) br. 480/2014</w:t>
            </w:r>
          </w:p>
        </w:tc>
      </w:tr>
      <w:tr w:rsidR="00220BBE" w:rsidRPr="00441E95" w14:paraId="0DA05359" w14:textId="77777777" w:rsidTr="00897D04">
        <w:tc>
          <w:tcPr>
            <w:tcW w:w="2148" w:type="dxa"/>
            <w:shd w:val="clear" w:color="auto" w:fill="FFFFFF" w:themeFill="background1"/>
          </w:tcPr>
          <w:p w14:paraId="4F1CC0E3" w14:textId="261B4906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lastRenderedPageBreak/>
              <w:t xml:space="preserve">sporazum o financiranju </w:t>
            </w:r>
            <w:r w:rsidR="003944B4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(SoF)</w:t>
            </w:r>
          </w:p>
          <w:p w14:paraId="1D20A44D" w14:textId="77777777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(engl. </w:t>
            </w:r>
            <w:r w:rsidRPr="00441E95">
              <w:rPr>
                <w:rFonts w:ascii="Times New Roman" w:hAnsi="Times New Roman"/>
                <w:i/>
                <w:noProof w:val="0"/>
                <w:sz w:val="24"/>
                <w:szCs w:val="24"/>
                <w:lang w:val="hr-HR"/>
              </w:rPr>
              <w:t>funding agreement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)</w:t>
            </w:r>
          </w:p>
        </w:tc>
        <w:tc>
          <w:tcPr>
            <w:tcW w:w="5056" w:type="dxa"/>
            <w:shd w:val="clear" w:color="auto" w:fill="FFFFFF" w:themeFill="background1"/>
          </w:tcPr>
          <w:p w14:paraId="084BDDAA" w14:textId="7CF51582" w:rsidR="00220BBE" w:rsidRPr="00441E95" w:rsidRDefault="00220BBE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sporazum kojim se određuju uvjeti pod kojima se daje doprinos </w:t>
            </w:r>
            <w:r w:rsidR="00F83E77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FI-jevima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iz OPKK, a koji potpisuju </w:t>
            </w:r>
            <w:r w:rsidR="00F83E77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UT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i </w:t>
            </w:r>
            <w:r w:rsidR="009915D3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TPFI</w:t>
            </w:r>
            <w:r w:rsidRPr="00441E95" w:rsidDel="00CE3113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te, ako je primjenjivo i </w:t>
            </w:r>
            <w:r w:rsidR="008A5314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posredničko tijelo razine 1 (PT1)</w:t>
            </w:r>
          </w:p>
        </w:tc>
        <w:tc>
          <w:tcPr>
            <w:tcW w:w="2401" w:type="dxa"/>
            <w:shd w:val="clear" w:color="auto" w:fill="FFFFFF" w:themeFill="background1"/>
          </w:tcPr>
          <w:p w14:paraId="6183855E" w14:textId="77777777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članak 38. stavak 7. i Prilog IV Uredbe (EU) br. 1303/2013</w:t>
            </w:r>
          </w:p>
        </w:tc>
      </w:tr>
      <w:tr w:rsidR="00220BBE" w:rsidRPr="00441E95" w14:paraId="5D45F34E" w14:textId="77777777" w:rsidTr="00897D04">
        <w:tc>
          <w:tcPr>
            <w:tcW w:w="2148" w:type="dxa"/>
            <w:shd w:val="clear" w:color="auto" w:fill="FFFFFF" w:themeFill="background1"/>
          </w:tcPr>
          <w:p w14:paraId="5AAA3BE5" w14:textId="77777777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standardizirani financijski instrumenti </w:t>
            </w:r>
          </w:p>
          <w:p w14:paraId="4FC8B3BB" w14:textId="460FE05B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(engl. </w:t>
            </w:r>
            <w:r w:rsidRPr="00441E95">
              <w:rPr>
                <w:rFonts w:ascii="Times New Roman" w:hAnsi="Times New Roman"/>
                <w:i/>
                <w:noProof w:val="0"/>
                <w:sz w:val="24"/>
                <w:szCs w:val="24"/>
                <w:lang w:val="hr-HR"/>
              </w:rPr>
              <w:t>off-the-shelf financial instrument</w:t>
            </w:r>
            <w:r w:rsidR="008C5ACD">
              <w:rPr>
                <w:rFonts w:ascii="Times New Roman" w:hAnsi="Times New Roman"/>
                <w:i/>
                <w:noProof w:val="0"/>
                <w:sz w:val="24"/>
                <w:szCs w:val="24"/>
                <w:lang w:val="hr-HR"/>
              </w:rPr>
              <w:t>s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)</w:t>
            </w:r>
          </w:p>
        </w:tc>
        <w:tc>
          <w:tcPr>
            <w:tcW w:w="5056" w:type="dxa"/>
            <w:shd w:val="clear" w:color="auto" w:fill="FFFFFF" w:themeFill="background1"/>
          </w:tcPr>
          <w:p w14:paraId="61A3EA38" w14:textId="7E2C0FF3" w:rsidR="00220BBE" w:rsidRPr="00441E95" w:rsidRDefault="0044295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FI</w:t>
            </w:r>
            <w:r w:rsidR="008C5ACD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-jevi</w:t>
            </w:r>
            <w:r w:rsidR="00220BBE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, predefinirani Provedbenom uredbom Komisije (EU) br. 964/2014 u pogledu standardnih uvjeta koji se odnose na </w:t>
            </w:r>
            <w:r w:rsidR="00EB1060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F</w:t>
            </w:r>
            <w:r w:rsidR="009915D3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</w:t>
            </w:r>
            <w:r w:rsidR="00EB1060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-je</w:t>
            </w:r>
            <w:r w:rsidR="009915D3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ve</w:t>
            </w:r>
            <w:r w:rsidR="00220BBE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koji omogućuju da budu spremni za brzu uspostavu</w:t>
            </w:r>
          </w:p>
        </w:tc>
        <w:tc>
          <w:tcPr>
            <w:tcW w:w="2401" w:type="dxa"/>
            <w:shd w:val="clear" w:color="auto" w:fill="FFFFFF" w:themeFill="background1"/>
          </w:tcPr>
          <w:p w14:paraId="685D45A7" w14:textId="77777777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n/p</w:t>
            </w:r>
          </w:p>
        </w:tc>
      </w:tr>
      <w:tr w:rsidR="00220BBE" w:rsidRPr="00441E95" w14:paraId="066A481D" w14:textId="77777777" w:rsidTr="00897D04">
        <w:tc>
          <w:tcPr>
            <w:tcW w:w="2148" w:type="dxa"/>
            <w:shd w:val="clear" w:color="auto" w:fill="FFFFFF" w:themeFill="background1"/>
          </w:tcPr>
          <w:p w14:paraId="5F93D6CB" w14:textId="77777777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sufinanciranje</w:t>
            </w:r>
          </w:p>
          <w:p w14:paraId="45A41352" w14:textId="77777777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(eng. </w:t>
            </w:r>
            <w:r w:rsidRPr="00441E95">
              <w:rPr>
                <w:rFonts w:ascii="Times New Roman" w:hAnsi="Times New Roman"/>
                <w:i/>
                <w:noProof w:val="0"/>
                <w:sz w:val="24"/>
                <w:szCs w:val="24"/>
                <w:lang w:val="hr-HR"/>
              </w:rPr>
              <w:t>co-financing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)</w:t>
            </w:r>
          </w:p>
        </w:tc>
        <w:tc>
          <w:tcPr>
            <w:tcW w:w="5056" w:type="dxa"/>
            <w:shd w:val="clear" w:color="auto" w:fill="FFFFFF" w:themeFill="background1"/>
          </w:tcPr>
          <w:p w14:paraId="42860801" w14:textId="6D7E62C9" w:rsidR="00220BBE" w:rsidRPr="00441E95" w:rsidRDefault="00220BBE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strike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aranžman združivanja nacionalnih sredstava </w:t>
            </w:r>
            <w:r w:rsidR="00824791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država članica (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DČ</w:t>
            </w:r>
            <w:r w:rsidR="00824791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)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, privatnih i javnih, sa sredstvima iz proračuna ESIF-a za financijsko razdoblje 2014.-2020. za pružanje financijske potpore kroz operativni program</w:t>
            </w:r>
            <w:r w:rsidR="00CE6D23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(OP)</w:t>
            </w:r>
          </w:p>
        </w:tc>
        <w:tc>
          <w:tcPr>
            <w:tcW w:w="2401" w:type="dxa"/>
            <w:shd w:val="clear" w:color="auto" w:fill="FFFFFF" w:themeFill="background1"/>
          </w:tcPr>
          <w:p w14:paraId="2AEDF8B0" w14:textId="77777777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n/p</w:t>
            </w:r>
          </w:p>
        </w:tc>
      </w:tr>
      <w:tr w:rsidR="00220BBE" w:rsidRPr="00441E95" w14:paraId="0292174F" w14:textId="77777777" w:rsidTr="00897D04">
        <w:tc>
          <w:tcPr>
            <w:tcW w:w="2148" w:type="dxa"/>
            <w:shd w:val="clear" w:color="auto" w:fill="FFFFFF" w:themeFill="background1"/>
          </w:tcPr>
          <w:p w14:paraId="365D41A6" w14:textId="77777777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sukob interesa</w:t>
            </w:r>
          </w:p>
          <w:p w14:paraId="32AC513A" w14:textId="77777777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(eng. </w:t>
            </w:r>
            <w:r w:rsidRPr="00441E95">
              <w:rPr>
                <w:rFonts w:ascii="Times New Roman" w:hAnsi="Times New Roman"/>
                <w:i/>
                <w:noProof w:val="0"/>
                <w:sz w:val="24"/>
                <w:szCs w:val="24"/>
                <w:lang w:val="hr-HR"/>
              </w:rPr>
              <w:t>conflict of interest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)</w:t>
            </w:r>
          </w:p>
        </w:tc>
        <w:tc>
          <w:tcPr>
            <w:tcW w:w="5056" w:type="dxa"/>
            <w:shd w:val="clear" w:color="auto" w:fill="FFFFFF" w:themeFill="background1"/>
          </w:tcPr>
          <w:p w14:paraId="17B4E255" w14:textId="7B6CCFEA" w:rsidR="00220BBE" w:rsidRPr="00441E95" w:rsidRDefault="00220BBE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situacija u kojoj su privatni interesi osoba u sustavu upravljanja i kontrole </w:t>
            </w:r>
            <w:r w:rsidR="00D055E5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ESIF-a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u suprotnosti s javnim interesom ili kad privatni interes utječe ili može utjecati na nepristranost u obavljanju njihovih funkcija, u situacijama dolazi u priliku svojom odlukom ili drugim djelovanjem pogodovati sebi ili sebi bliskim osobama, društvenim skupinama i organizacijama</w:t>
            </w:r>
          </w:p>
        </w:tc>
        <w:tc>
          <w:tcPr>
            <w:tcW w:w="2401" w:type="dxa"/>
            <w:shd w:val="clear" w:color="auto" w:fill="FFFFFF" w:themeFill="background1"/>
          </w:tcPr>
          <w:p w14:paraId="115B9C91" w14:textId="2BA02F5D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ZNP </w:t>
            </w:r>
            <w:r w:rsidR="00244843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br. 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00 Zajedničko poglavlje </w:t>
            </w:r>
          </w:p>
        </w:tc>
      </w:tr>
      <w:tr w:rsidR="00220BBE" w:rsidRPr="00441E95" w14:paraId="3697DD1A" w14:textId="77777777" w:rsidTr="00897D04">
        <w:tc>
          <w:tcPr>
            <w:tcW w:w="2148" w:type="dxa"/>
            <w:shd w:val="clear" w:color="auto" w:fill="FFFFFF" w:themeFill="background1"/>
          </w:tcPr>
          <w:p w14:paraId="3994E0C1" w14:textId="12CE246C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tijelo koje provodi financijski instrument  </w:t>
            </w:r>
            <w:r w:rsidR="003456B5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(TPFI)</w:t>
            </w:r>
          </w:p>
          <w:p w14:paraId="1F7F28A8" w14:textId="77777777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(eng. </w:t>
            </w:r>
            <w:r w:rsidRPr="00441E95">
              <w:rPr>
                <w:rFonts w:ascii="Times New Roman" w:hAnsi="Times New Roman"/>
                <w:i/>
                <w:noProof w:val="0"/>
                <w:sz w:val="24"/>
                <w:szCs w:val="24"/>
                <w:lang w:val="hr-HR"/>
              </w:rPr>
              <w:t>body implementing financial instrument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) </w:t>
            </w:r>
          </w:p>
        </w:tc>
        <w:tc>
          <w:tcPr>
            <w:tcW w:w="5056" w:type="dxa"/>
            <w:shd w:val="clear" w:color="auto" w:fill="FFFFFF" w:themeFill="background1"/>
          </w:tcPr>
          <w:p w14:paraId="6C4765A8" w14:textId="38A604C0" w:rsidR="00220BBE" w:rsidRPr="00441E95" w:rsidRDefault="00220BBE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tijelo javnoga ili privatnoga prava iz članka 38. stavka 4. točke </w:t>
            </w:r>
            <w:r w:rsidR="00622F81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(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b) Uredbe (EU) br. 1303/2013 koje ispunjava odgovarajuće kriterije za odabir </w:t>
            </w:r>
            <w:r w:rsidR="0022555B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TPFI-ja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iz članka 7. Delegirane uredbe Komisije (EU) br. 480/2014, kojemu je povjereno izvršavanje zadataka provedbe </w:t>
            </w:r>
            <w:r w:rsidR="00820610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FI-ja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ili koje je odabrano za provedbu </w:t>
            </w:r>
            <w:r w:rsidR="00820610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FI-ja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na osnovi otvorenih, transparentnih, razmjernih i nediskriminirajućih postupaka, izbjegavajući sukob interesa</w:t>
            </w:r>
          </w:p>
        </w:tc>
        <w:tc>
          <w:tcPr>
            <w:tcW w:w="2401" w:type="dxa"/>
            <w:shd w:val="clear" w:color="auto" w:fill="FFFFFF" w:themeFill="background1"/>
          </w:tcPr>
          <w:p w14:paraId="0A13D9D1" w14:textId="77777777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članak 38. Uredbe (EU) br. 1303/2013</w:t>
            </w:r>
          </w:p>
        </w:tc>
      </w:tr>
      <w:tr w:rsidR="00220BBE" w:rsidRPr="00441E95" w14:paraId="21FE9CE3" w14:textId="77777777" w:rsidTr="00897D04">
        <w:tc>
          <w:tcPr>
            <w:tcW w:w="2148" w:type="dxa"/>
            <w:shd w:val="clear" w:color="auto" w:fill="FFFFFF" w:themeFill="background1"/>
          </w:tcPr>
          <w:p w14:paraId="7B09EE6E" w14:textId="77777777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troškovi upravljanja</w:t>
            </w:r>
          </w:p>
          <w:p w14:paraId="470CF6CF" w14:textId="77777777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(engl. </w:t>
            </w:r>
            <w:r w:rsidRPr="00441E95">
              <w:rPr>
                <w:rFonts w:ascii="Times New Roman" w:hAnsi="Times New Roman"/>
                <w:i/>
                <w:noProof w:val="0"/>
                <w:sz w:val="24"/>
                <w:szCs w:val="24"/>
                <w:lang w:val="hr-HR"/>
              </w:rPr>
              <w:t>management costs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)</w:t>
            </w:r>
          </w:p>
        </w:tc>
        <w:tc>
          <w:tcPr>
            <w:tcW w:w="5056" w:type="dxa"/>
            <w:shd w:val="clear" w:color="auto" w:fill="FFFFFF" w:themeFill="background1"/>
          </w:tcPr>
          <w:p w14:paraId="57653EFC" w14:textId="7FE5211D" w:rsidR="00220BBE" w:rsidRPr="00441E95" w:rsidRDefault="00220BBE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stavke (ne)izravnih troškova koji će biti vraćeni po predočenju dokaza o nastalim izdacima; metodologija izračuna temelji se na uspješnosti u skladu s člancima 12., 13. i 14. Delegirane Uredbe (EU) br. 480/2014</w:t>
            </w:r>
          </w:p>
        </w:tc>
        <w:tc>
          <w:tcPr>
            <w:tcW w:w="2401" w:type="dxa"/>
            <w:shd w:val="clear" w:color="auto" w:fill="FFFFFF" w:themeFill="background1"/>
          </w:tcPr>
          <w:p w14:paraId="622E36F1" w14:textId="77777777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članak 42. stavak 5. Uredbe (EU) br. 1303/2013</w:t>
            </w:r>
          </w:p>
        </w:tc>
      </w:tr>
      <w:tr w:rsidR="00220BBE" w:rsidRPr="00441E95" w14:paraId="01ABD53B" w14:textId="77777777" w:rsidTr="00897D04">
        <w:tc>
          <w:tcPr>
            <w:tcW w:w="2148" w:type="dxa"/>
            <w:shd w:val="clear" w:color="auto" w:fill="FFFFFF" w:themeFill="background1"/>
          </w:tcPr>
          <w:p w14:paraId="3FD56211" w14:textId="77777777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učinak poluge EU sredstava</w:t>
            </w:r>
          </w:p>
          <w:p w14:paraId="78200974" w14:textId="77777777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lastRenderedPageBreak/>
              <w:t xml:space="preserve">(eng. </w:t>
            </w:r>
            <w:r w:rsidRPr="00441E95">
              <w:rPr>
                <w:rFonts w:ascii="Times New Roman" w:hAnsi="Times New Roman"/>
                <w:i/>
                <w:noProof w:val="0"/>
                <w:sz w:val="24"/>
                <w:szCs w:val="24"/>
                <w:lang w:val="hr-HR"/>
              </w:rPr>
              <w:t>leverage effect of Union funds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)</w:t>
            </w:r>
          </w:p>
        </w:tc>
        <w:tc>
          <w:tcPr>
            <w:tcW w:w="5056" w:type="dxa"/>
            <w:shd w:val="clear" w:color="auto" w:fill="FFFFFF" w:themeFill="background1"/>
          </w:tcPr>
          <w:p w14:paraId="00179AD6" w14:textId="2F31CDA1" w:rsidR="00220BBE" w:rsidRPr="00441E95" w:rsidRDefault="00B654CF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lastRenderedPageBreak/>
              <w:t xml:space="preserve">dodatna javna i privatna sredstava koja bi potencijalno trebao privući </w:t>
            </w:r>
            <w:r w:rsidR="009B4E53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FI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, sve do razine </w:t>
            </w:r>
            <w:r w:rsidR="00D832A6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KP-a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</w:t>
            </w:r>
          </w:p>
        </w:tc>
        <w:tc>
          <w:tcPr>
            <w:tcW w:w="2401" w:type="dxa"/>
            <w:shd w:val="clear" w:color="auto" w:fill="FFFFFF" w:themeFill="background1"/>
          </w:tcPr>
          <w:p w14:paraId="249BA23D" w14:textId="67F00730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članak </w:t>
            </w:r>
            <w:r w:rsidR="00D7737F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37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. stavak </w:t>
            </w:r>
            <w:r w:rsidR="00D7737F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2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. </w:t>
            </w:r>
            <w:r w:rsidR="00D7737F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točka (c) Uredbe (EU) br. 1303/2013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 </w:t>
            </w:r>
          </w:p>
        </w:tc>
      </w:tr>
      <w:tr w:rsidR="00220BBE" w:rsidRPr="00441E95" w14:paraId="6A155B0E" w14:textId="77777777" w:rsidTr="00897D04">
        <w:tc>
          <w:tcPr>
            <w:tcW w:w="2148" w:type="dxa"/>
            <w:shd w:val="clear" w:color="auto" w:fill="auto"/>
          </w:tcPr>
          <w:p w14:paraId="381FFC18" w14:textId="77777777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vlasničko ulaganje</w:t>
            </w:r>
          </w:p>
          <w:p w14:paraId="3E16FF63" w14:textId="77777777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(eng. </w:t>
            </w:r>
            <w:r w:rsidRPr="00441E95">
              <w:rPr>
                <w:rFonts w:ascii="Times New Roman" w:hAnsi="Times New Roman"/>
                <w:i/>
                <w:noProof w:val="0"/>
                <w:sz w:val="24"/>
                <w:szCs w:val="24"/>
                <w:lang w:val="hr-HR"/>
              </w:rPr>
              <w:t>equity investment)</w:t>
            </w:r>
          </w:p>
        </w:tc>
        <w:tc>
          <w:tcPr>
            <w:tcW w:w="5056" w:type="dxa"/>
            <w:shd w:val="clear" w:color="auto" w:fill="auto"/>
          </w:tcPr>
          <w:p w14:paraId="13503B34" w14:textId="621171CC" w:rsidR="00220BBE" w:rsidRPr="00441E95" w:rsidRDefault="00220BBE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pribavljanje kapitala poduzeću (ne)izravnim ulaganjem radi stjecanja potpunog ili djelomičnog vlasništva nad tim poduzećem, pri čemu ulagač može preuzeti dio upravljačke kontrole nad poduzeće</w:t>
            </w:r>
            <w:r w:rsidR="00576084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m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i imati pravo na dio dobiti kapitala poduzeća</w:t>
            </w:r>
          </w:p>
        </w:tc>
        <w:tc>
          <w:tcPr>
            <w:tcW w:w="2401" w:type="dxa"/>
            <w:shd w:val="clear" w:color="auto" w:fill="auto"/>
          </w:tcPr>
          <w:p w14:paraId="07FC0340" w14:textId="7E50B033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članak 2. stavak </w:t>
            </w:r>
            <w:r w:rsidR="007A6A30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25.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</w:t>
            </w:r>
            <w:r w:rsidR="007A6A30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Uredbe (EU, Euratom) 2018/1046</w:t>
            </w:r>
          </w:p>
        </w:tc>
      </w:tr>
      <w:tr w:rsidR="00220BBE" w:rsidRPr="00441E95" w14:paraId="41CAC387" w14:textId="77777777" w:rsidTr="00897D04">
        <w:tc>
          <w:tcPr>
            <w:tcW w:w="2148" w:type="dxa"/>
            <w:shd w:val="clear" w:color="auto" w:fill="FFFFFF" w:themeFill="background1"/>
          </w:tcPr>
          <w:p w14:paraId="505319C0" w14:textId="77777777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zajam</w:t>
            </w:r>
          </w:p>
          <w:p w14:paraId="1F0FC9A5" w14:textId="77777777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(eng. </w:t>
            </w:r>
            <w:r w:rsidRPr="00441E95">
              <w:rPr>
                <w:rFonts w:ascii="Times New Roman" w:hAnsi="Times New Roman"/>
                <w:i/>
                <w:noProof w:val="0"/>
                <w:sz w:val="24"/>
                <w:szCs w:val="24"/>
                <w:lang w:val="hr-HR"/>
              </w:rPr>
              <w:t>loan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)</w:t>
            </w:r>
          </w:p>
        </w:tc>
        <w:tc>
          <w:tcPr>
            <w:tcW w:w="5056" w:type="dxa"/>
            <w:shd w:val="clear" w:color="auto" w:fill="FFFFFF" w:themeFill="background1"/>
          </w:tcPr>
          <w:p w14:paraId="3BB79230" w14:textId="77777777" w:rsidR="00220BBE" w:rsidRPr="00441E95" w:rsidRDefault="00220BBE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sporazum koji obvezuje zajmodavca da zajmoprimcu učini dostupnim ugovoreni iznos novca na ugovoreno vremensko razdoblje i na temelju kojeg je zajmoprimac obvezan vratiti taj iznos u ugovorenom roku</w:t>
            </w:r>
          </w:p>
        </w:tc>
        <w:tc>
          <w:tcPr>
            <w:tcW w:w="2401" w:type="dxa"/>
            <w:shd w:val="clear" w:color="auto" w:fill="FFFFFF" w:themeFill="background1"/>
          </w:tcPr>
          <w:p w14:paraId="0C700DB6" w14:textId="7F331900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članak 2. stavak </w:t>
            </w:r>
            <w:r w:rsidR="007A6A30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40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. </w:t>
            </w:r>
            <w:r w:rsidR="007A6A30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Uredbe (EU, Euratom) 2018/1046</w:t>
            </w:r>
          </w:p>
        </w:tc>
      </w:tr>
      <w:tr w:rsidR="00220BBE" w:rsidRPr="00441E95" w14:paraId="06C1FC95" w14:textId="77777777" w:rsidTr="00897D04">
        <w:tc>
          <w:tcPr>
            <w:tcW w:w="2148" w:type="dxa"/>
            <w:shd w:val="clear" w:color="auto" w:fill="FFFFFF" w:themeFill="background1"/>
          </w:tcPr>
          <w:p w14:paraId="1ABBE5AA" w14:textId="77777777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založni račun</w:t>
            </w:r>
          </w:p>
          <w:p w14:paraId="35667982" w14:textId="77777777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(eng. </w:t>
            </w:r>
            <w:r w:rsidRPr="00441E95">
              <w:rPr>
                <w:rFonts w:ascii="Times New Roman" w:hAnsi="Times New Roman"/>
                <w:i/>
                <w:noProof w:val="0"/>
                <w:sz w:val="24"/>
                <w:szCs w:val="24"/>
                <w:lang w:val="hr-HR"/>
              </w:rPr>
              <w:t>escrow account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)</w:t>
            </w:r>
          </w:p>
        </w:tc>
        <w:tc>
          <w:tcPr>
            <w:tcW w:w="5056" w:type="dxa"/>
            <w:shd w:val="clear" w:color="auto" w:fill="FFFFFF" w:themeFill="background1"/>
          </w:tcPr>
          <w:p w14:paraId="37504665" w14:textId="365B8535" w:rsidR="00220BBE" w:rsidRPr="00441E95" w:rsidRDefault="00220BBE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bankovni račun obuhvaćen pisanim sporazumom između </w:t>
            </w:r>
            <w:r w:rsidR="009B4E53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UT-a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ili </w:t>
            </w:r>
            <w:r w:rsidR="009B4E53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PT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1 i </w:t>
            </w:r>
            <w:r w:rsidR="0022555B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TPFI-ja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, otvoren posebno radi čuvanja sredstava koja se moraju isplatiti nakon razdoblja prihvatljivosti, samo u svrhe predviđene člankom 42. stavkom 1. točkom </w:t>
            </w:r>
            <w:r w:rsidR="00DE22AF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(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c), člankom 42. stavkom 2., člankom 42. stavkom 3. i člankom 64.</w:t>
            </w:r>
            <w:r w:rsidR="00DE22AF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</w:t>
            </w:r>
            <w:r w:rsidR="00DE22AF" w:rsidRPr="00DE22AF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Uredbe (EU) br. 1303/2013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, ili bankovni račun otvoren pod uvjetima da pruža istovrsna jamstva za isplate iz fondova</w:t>
            </w:r>
          </w:p>
        </w:tc>
        <w:tc>
          <w:tcPr>
            <w:tcW w:w="2401" w:type="dxa"/>
            <w:shd w:val="clear" w:color="auto" w:fill="FFFFFF" w:themeFill="background1"/>
          </w:tcPr>
          <w:p w14:paraId="1DA96630" w14:textId="70121040" w:rsidR="00220BBE" w:rsidRPr="00441E95" w:rsidRDefault="00220BBE" w:rsidP="00897D0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članak 2. stavak 1. točka </w:t>
            </w:r>
            <w:r w:rsidR="00622F81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(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26</w:t>
            </w:r>
            <w:r w:rsidR="00622F81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)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Uredbe (EU) br. 1303/2013</w:t>
            </w:r>
          </w:p>
        </w:tc>
      </w:tr>
    </w:tbl>
    <w:p w14:paraId="47E79735" w14:textId="32FC3966" w:rsidR="001C0C02" w:rsidRPr="00441E95" w:rsidRDefault="001C0C02" w:rsidP="001A2AFF">
      <w:pPr>
        <w:pStyle w:val="Heading1"/>
        <w:spacing w:before="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bookmarkStart w:id="21" w:name="_Toc447899778"/>
      <w:bookmarkStart w:id="22" w:name="_Toc535399372"/>
      <w:bookmarkStart w:id="23" w:name="_Toc3300636"/>
      <w:bookmarkStart w:id="24" w:name="_Toc3300675"/>
    </w:p>
    <w:p w14:paraId="1132D593" w14:textId="77777777" w:rsidR="001C0C02" w:rsidRPr="00441E95" w:rsidRDefault="001C0C02">
      <w:pPr>
        <w:tabs>
          <w:tab w:val="clear" w:pos="2160"/>
        </w:tabs>
        <w:spacing w:before="0"/>
        <w:ind w:left="0" w:firstLine="0"/>
        <w:jc w:val="left"/>
        <w:rPr>
          <w:rFonts w:ascii="Times New Roman" w:hAnsi="Times New Roman"/>
          <w:b/>
          <w:bCs/>
          <w:noProof w:val="0"/>
          <w:kern w:val="32"/>
          <w:sz w:val="24"/>
        </w:rPr>
      </w:pPr>
      <w:r w:rsidRPr="00441E95">
        <w:rPr>
          <w:rFonts w:ascii="Times New Roman" w:hAnsi="Times New Roman"/>
          <w:noProof w:val="0"/>
          <w:sz w:val="24"/>
        </w:rPr>
        <w:br w:type="page"/>
      </w:r>
    </w:p>
    <w:p w14:paraId="56103454" w14:textId="00066AD4" w:rsidR="001D09D3" w:rsidRPr="00441E95" w:rsidRDefault="001C0C02" w:rsidP="001A2AFF">
      <w:pPr>
        <w:pStyle w:val="Heading1"/>
        <w:spacing w:before="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r w:rsidRPr="00441E95">
        <w:rPr>
          <w:rFonts w:ascii="Times New Roman" w:hAnsi="Times New Roman" w:cs="Times New Roman"/>
          <w:noProof w:val="0"/>
          <w:sz w:val="24"/>
          <w:szCs w:val="24"/>
        </w:rPr>
        <w:lastRenderedPageBreak/>
        <w:t>4</w:t>
      </w:r>
      <w:r w:rsidR="005B0725" w:rsidRPr="00441E95">
        <w:rPr>
          <w:rFonts w:ascii="Times New Roman" w:hAnsi="Times New Roman" w:cs="Times New Roman"/>
          <w:noProof w:val="0"/>
          <w:sz w:val="24"/>
          <w:szCs w:val="24"/>
        </w:rPr>
        <w:t>.2 Kratice</w:t>
      </w:r>
      <w:bookmarkEnd w:id="21"/>
      <w:bookmarkEnd w:id="22"/>
      <w:bookmarkEnd w:id="23"/>
      <w:bookmarkEnd w:id="24"/>
      <w:r w:rsidR="000725B5" w:rsidRPr="00441E95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</w:p>
    <w:p w14:paraId="46B44C56" w14:textId="77777777" w:rsidR="00C24E0C" w:rsidRPr="00441E95" w:rsidRDefault="00C24E0C" w:rsidP="001A2AFF">
      <w:pPr>
        <w:spacing w:before="0"/>
        <w:rPr>
          <w:rFonts w:ascii="Times New Roman" w:hAnsi="Times New Roman"/>
          <w:noProof w:val="0"/>
          <w:sz w:val="24"/>
        </w:rPr>
      </w:pP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2065"/>
        <w:gridCol w:w="7569"/>
      </w:tblGrid>
      <w:tr w:rsidR="00850478" w:rsidRPr="00441E95" w14:paraId="03B573AF" w14:textId="77777777" w:rsidTr="001D6774">
        <w:tc>
          <w:tcPr>
            <w:tcW w:w="2065" w:type="dxa"/>
            <w:shd w:val="clear" w:color="auto" w:fill="auto"/>
          </w:tcPr>
          <w:p w14:paraId="0DE16692" w14:textId="77777777" w:rsidR="001E4F09" w:rsidRPr="00441E95" w:rsidRDefault="001E4F09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ARO</w:t>
            </w:r>
          </w:p>
        </w:tc>
        <w:tc>
          <w:tcPr>
            <w:tcW w:w="7569" w:type="dxa"/>
            <w:shd w:val="clear" w:color="auto" w:fill="auto"/>
          </w:tcPr>
          <w:p w14:paraId="1B28B506" w14:textId="77777777" w:rsidR="001E4F09" w:rsidRPr="00441E95" w:rsidRDefault="001E4F09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analiza radne opterećenosti</w:t>
            </w:r>
          </w:p>
        </w:tc>
      </w:tr>
      <w:tr w:rsidR="00850478" w:rsidRPr="00441E95" w14:paraId="7D93E49A" w14:textId="77777777" w:rsidTr="001D6774">
        <w:tc>
          <w:tcPr>
            <w:tcW w:w="2065" w:type="dxa"/>
            <w:shd w:val="clear" w:color="auto" w:fill="auto"/>
          </w:tcPr>
          <w:p w14:paraId="6323C582" w14:textId="77777777" w:rsidR="001D09D3" w:rsidRPr="00441E95" w:rsidRDefault="00381EF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DČ</w:t>
            </w:r>
          </w:p>
        </w:tc>
        <w:tc>
          <w:tcPr>
            <w:tcW w:w="7569" w:type="dxa"/>
            <w:shd w:val="clear" w:color="auto" w:fill="auto"/>
          </w:tcPr>
          <w:p w14:paraId="6E5CEA42" w14:textId="77777777" w:rsidR="001D09D3" w:rsidRPr="00441E95" w:rsidRDefault="00381EF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država članica</w:t>
            </w:r>
          </w:p>
        </w:tc>
      </w:tr>
      <w:tr w:rsidR="00850478" w:rsidRPr="00441E95" w14:paraId="4D1BC9E4" w14:textId="77777777" w:rsidTr="001D6774">
        <w:tc>
          <w:tcPr>
            <w:tcW w:w="2065" w:type="dxa"/>
            <w:shd w:val="clear" w:color="auto" w:fill="auto"/>
          </w:tcPr>
          <w:p w14:paraId="2DB5E740" w14:textId="77777777" w:rsidR="001D09D3" w:rsidRPr="00441E95" w:rsidRDefault="001D09D3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EFRR</w:t>
            </w:r>
          </w:p>
        </w:tc>
        <w:tc>
          <w:tcPr>
            <w:tcW w:w="7569" w:type="dxa"/>
            <w:shd w:val="clear" w:color="auto" w:fill="auto"/>
          </w:tcPr>
          <w:p w14:paraId="36754D1B" w14:textId="77777777" w:rsidR="001D09D3" w:rsidRPr="00441E95" w:rsidRDefault="001D09D3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Europski fond za regionalni razvoj</w:t>
            </w:r>
          </w:p>
        </w:tc>
      </w:tr>
      <w:tr w:rsidR="00DB2742" w:rsidRPr="00441E95" w14:paraId="3B00478B" w14:textId="77777777" w:rsidTr="001D6774">
        <w:tc>
          <w:tcPr>
            <w:tcW w:w="2065" w:type="dxa"/>
            <w:shd w:val="clear" w:color="auto" w:fill="auto"/>
          </w:tcPr>
          <w:p w14:paraId="2210D8E2" w14:textId="3920DDBF" w:rsidR="00DB2742" w:rsidRPr="00441E95" w:rsidRDefault="00DB274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EFSU</w:t>
            </w:r>
          </w:p>
        </w:tc>
        <w:tc>
          <w:tcPr>
            <w:tcW w:w="7569" w:type="dxa"/>
            <w:shd w:val="clear" w:color="auto" w:fill="auto"/>
          </w:tcPr>
          <w:p w14:paraId="7B5D07C7" w14:textId="752AD249" w:rsidR="00DB2742" w:rsidRPr="00441E95" w:rsidRDefault="00DB274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8D6E98">
              <w:rPr>
                <w:rFonts w:ascii="Times New Roman" w:eastAsia="Arial" w:hAnsi="Times New Roman"/>
                <w:iCs/>
                <w:noProof w:val="0"/>
                <w:sz w:val="24"/>
                <w:szCs w:val="24"/>
                <w:lang w:val="hr-HR"/>
              </w:rPr>
              <w:t>Europsk</w:t>
            </w:r>
            <w:r>
              <w:rPr>
                <w:rFonts w:ascii="Times New Roman" w:eastAsia="Arial" w:hAnsi="Times New Roman"/>
                <w:iCs/>
                <w:noProof w:val="0"/>
                <w:sz w:val="24"/>
                <w:szCs w:val="24"/>
                <w:lang w:val="hr-HR"/>
              </w:rPr>
              <w:t>i</w:t>
            </w:r>
            <w:r w:rsidRPr="008D6E98">
              <w:rPr>
                <w:rFonts w:ascii="Times New Roman" w:eastAsia="Arial" w:hAnsi="Times New Roman"/>
                <w:iCs/>
                <w:noProof w:val="0"/>
                <w:sz w:val="24"/>
                <w:szCs w:val="24"/>
                <w:lang w:val="hr-HR"/>
              </w:rPr>
              <w:t xml:space="preserve"> fond za strateška ulaganja</w:t>
            </w:r>
          </w:p>
        </w:tc>
      </w:tr>
      <w:tr w:rsidR="00850478" w:rsidRPr="00441E95" w14:paraId="56E97CAD" w14:textId="77777777" w:rsidTr="001D6774">
        <w:tc>
          <w:tcPr>
            <w:tcW w:w="2065" w:type="dxa"/>
            <w:shd w:val="clear" w:color="auto" w:fill="auto"/>
          </w:tcPr>
          <w:p w14:paraId="3E1D1BCD" w14:textId="77777777" w:rsidR="001D09D3" w:rsidRPr="00441E95" w:rsidRDefault="001D09D3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EK</w:t>
            </w:r>
          </w:p>
        </w:tc>
        <w:tc>
          <w:tcPr>
            <w:tcW w:w="7569" w:type="dxa"/>
            <w:shd w:val="clear" w:color="auto" w:fill="auto"/>
          </w:tcPr>
          <w:p w14:paraId="7DC0577E" w14:textId="77777777" w:rsidR="001D09D3" w:rsidRPr="00441E95" w:rsidRDefault="001D09D3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Europska komisija</w:t>
            </w:r>
          </w:p>
        </w:tc>
      </w:tr>
      <w:tr w:rsidR="00850478" w:rsidRPr="00441E95" w14:paraId="0D832591" w14:textId="77777777" w:rsidTr="001D6774">
        <w:tc>
          <w:tcPr>
            <w:tcW w:w="2065" w:type="dxa"/>
            <w:shd w:val="clear" w:color="auto" w:fill="auto"/>
          </w:tcPr>
          <w:p w14:paraId="5660D515" w14:textId="77777777" w:rsidR="00381EF2" w:rsidRPr="00441E95" w:rsidRDefault="00381EF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  <w:t>ESF</w:t>
            </w:r>
          </w:p>
        </w:tc>
        <w:tc>
          <w:tcPr>
            <w:tcW w:w="7569" w:type="dxa"/>
            <w:shd w:val="clear" w:color="auto" w:fill="auto"/>
          </w:tcPr>
          <w:p w14:paraId="5BDB7778" w14:textId="77777777" w:rsidR="00381EF2" w:rsidRPr="00441E95" w:rsidRDefault="00381EF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  <w:t>Europski socijalni fond</w:t>
            </w:r>
          </w:p>
        </w:tc>
      </w:tr>
      <w:tr w:rsidR="00850478" w:rsidRPr="00441E95" w14:paraId="60209F06" w14:textId="77777777" w:rsidTr="001D6774">
        <w:tc>
          <w:tcPr>
            <w:tcW w:w="2065" w:type="dxa"/>
            <w:shd w:val="clear" w:color="auto" w:fill="auto"/>
          </w:tcPr>
          <w:p w14:paraId="7B44DF86" w14:textId="77777777" w:rsidR="0094767D" w:rsidRPr="00441E95" w:rsidRDefault="0094767D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ESIF</w:t>
            </w:r>
          </w:p>
        </w:tc>
        <w:tc>
          <w:tcPr>
            <w:tcW w:w="7569" w:type="dxa"/>
            <w:shd w:val="clear" w:color="auto" w:fill="auto"/>
          </w:tcPr>
          <w:p w14:paraId="1C400C32" w14:textId="77777777" w:rsidR="0094767D" w:rsidRPr="00441E95" w:rsidRDefault="0094767D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Europski strukturni i investicijski fondovi</w:t>
            </w:r>
          </w:p>
        </w:tc>
      </w:tr>
      <w:tr w:rsidR="00850478" w:rsidRPr="00441E95" w14:paraId="10CCCED9" w14:textId="77777777" w:rsidTr="001D6774">
        <w:tc>
          <w:tcPr>
            <w:tcW w:w="2065" w:type="dxa"/>
            <w:shd w:val="clear" w:color="auto" w:fill="auto"/>
          </w:tcPr>
          <w:p w14:paraId="5E81803F" w14:textId="77777777" w:rsidR="00381EF2" w:rsidRPr="00441E95" w:rsidRDefault="0094767D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EU</w:t>
            </w:r>
          </w:p>
        </w:tc>
        <w:tc>
          <w:tcPr>
            <w:tcW w:w="7569" w:type="dxa"/>
            <w:shd w:val="clear" w:color="auto" w:fill="auto"/>
          </w:tcPr>
          <w:p w14:paraId="2921CD46" w14:textId="77777777" w:rsidR="00381EF2" w:rsidRPr="00441E95" w:rsidRDefault="00381EF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Europska unija</w:t>
            </w:r>
          </w:p>
        </w:tc>
      </w:tr>
      <w:tr w:rsidR="00C31C88" w:rsidRPr="00441E95" w14:paraId="72D1AAD3" w14:textId="77777777" w:rsidTr="00C31C88">
        <w:tc>
          <w:tcPr>
            <w:tcW w:w="2065" w:type="dxa"/>
          </w:tcPr>
          <w:p w14:paraId="3AFA3B71" w14:textId="77777777" w:rsidR="00C31C88" w:rsidRPr="00441E95" w:rsidRDefault="00C31C88" w:rsidP="000B0E99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FF</w:t>
            </w:r>
          </w:p>
        </w:tc>
        <w:tc>
          <w:tcPr>
            <w:tcW w:w="7569" w:type="dxa"/>
          </w:tcPr>
          <w:p w14:paraId="2CC73F3C" w14:textId="77777777" w:rsidR="00C31C88" w:rsidRPr="00441E95" w:rsidRDefault="00C31C88" w:rsidP="000B0E99">
            <w:pPr>
              <w:pStyle w:val="Arial105ptbefore"/>
              <w:spacing w:before="0"/>
              <w:jc w:val="both"/>
              <w:rPr>
                <w:rFonts w:ascii="Times New Roman" w:hAnsi="Times New Roman"/>
                <w:i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fond fondova</w:t>
            </w:r>
          </w:p>
        </w:tc>
      </w:tr>
      <w:tr w:rsidR="00850478" w:rsidRPr="00441E95" w14:paraId="53184118" w14:textId="77777777" w:rsidTr="001D6774">
        <w:tc>
          <w:tcPr>
            <w:tcW w:w="2065" w:type="dxa"/>
            <w:shd w:val="clear" w:color="auto" w:fill="auto"/>
          </w:tcPr>
          <w:p w14:paraId="1C281B33" w14:textId="77777777" w:rsidR="00381EF2" w:rsidRPr="00441E95" w:rsidRDefault="00381EF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FI</w:t>
            </w:r>
          </w:p>
        </w:tc>
        <w:tc>
          <w:tcPr>
            <w:tcW w:w="7569" w:type="dxa"/>
            <w:shd w:val="clear" w:color="auto" w:fill="auto"/>
          </w:tcPr>
          <w:p w14:paraId="49A82820" w14:textId="77777777" w:rsidR="00381EF2" w:rsidRPr="00441E95" w:rsidRDefault="00381EF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financijski instrument</w:t>
            </w:r>
          </w:p>
        </w:tc>
      </w:tr>
      <w:tr w:rsidR="00850478" w:rsidRPr="00441E95" w14:paraId="582FD155" w14:textId="77777777" w:rsidTr="001D6774">
        <w:tc>
          <w:tcPr>
            <w:tcW w:w="2065" w:type="dxa"/>
            <w:shd w:val="clear" w:color="auto" w:fill="auto"/>
          </w:tcPr>
          <w:p w14:paraId="0C58B888" w14:textId="77777777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FP</w:t>
            </w:r>
          </w:p>
        </w:tc>
        <w:tc>
          <w:tcPr>
            <w:tcW w:w="7569" w:type="dxa"/>
            <w:shd w:val="clear" w:color="auto" w:fill="auto"/>
          </w:tcPr>
          <w:p w14:paraId="42ABE9A9" w14:textId="77777777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financijski posrednik</w:t>
            </w:r>
          </w:p>
        </w:tc>
      </w:tr>
      <w:tr w:rsidR="00850478" w:rsidRPr="00441E95" w14:paraId="5B3B7456" w14:textId="77777777" w:rsidTr="001D6774">
        <w:tc>
          <w:tcPr>
            <w:tcW w:w="2065" w:type="dxa"/>
            <w:shd w:val="clear" w:color="auto" w:fill="auto"/>
          </w:tcPr>
          <w:p w14:paraId="3D7E9B05" w14:textId="65BD56DB" w:rsidR="008D6814" w:rsidRPr="00441E95" w:rsidRDefault="008D6814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</w:pPr>
          </w:p>
        </w:tc>
        <w:tc>
          <w:tcPr>
            <w:tcW w:w="7569" w:type="dxa"/>
            <w:shd w:val="clear" w:color="auto" w:fill="auto"/>
          </w:tcPr>
          <w:p w14:paraId="3D0DF34C" w14:textId="2BB9EC65" w:rsidR="008D6814" w:rsidRPr="00441E95" w:rsidRDefault="008D6814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</w:pPr>
          </w:p>
        </w:tc>
      </w:tr>
      <w:tr w:rsidR="00850478" w:rsidRPr="00441E95" w14:paraId="67824E40" w14:textId="77777777" w:rsidTr="001D6774">
        <w:tc>
          <w:tcPr>
            <w:tcW w:w="2065" w:type="dxa"/>
            <w:shd w:val="clear" w:color="auto" w:fill="auto"/>
          </w:tcPr>
          <w:p w14:paraId="12EAFD42" w14:textId="16AEBA8E" w:rsidR="00D31317" w:rsidRPr="00441E95" w:rsidRDefault="00D31317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</w:pPr>
          </w:p>
        </w:tc>
        <w:tc>
          <w:tcPr>
            <w:tcW w:w="7569" w:type="dxa"/>
            <w:shd w:val="clear" w:color="auto" w:fill="auto"/>
          </w:tcPr>
          <w:p w14:paraId="5C0283AC" w14:textId="4837A796" w:rsidR="00D31317" w:rsidRPr="00441E95" w:rsidRDefault="00D31317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</w:pPr>
          </w:p>
        </w:tc>
      </w:tr>
      <w:tr w:rsidR="00850478" w:rsidRPr="00441E95" w14:paraId="05920646" w14:textId="77777777" w:rsidTr="001D6774">
        <w:tc>
          <w:tcPr>
            <w:tcW w:w="2065" w:type="dxa"/>
            <w:shd w:val="clear" w:color="auto" w:fill="auto"/>
          </w:tcPr>
          <w:p w14:paraId="0D00D541" w14:textId="1A2502B5" w:rsidR="005B681E" w:rsidRPr="00441E95" w:rsidRDefault="005B681E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</w:pPr>
          </w:p>
        </w:tc>
        <w:tc>
          <w:tcPr>
            <w:tcW w:w="7569" w:type="dxa"/>
            <w:shd w:val="clear" w:color="auto" w:fill="auto"/>
          </w:tcPr>
          <w:p w14:paraId="7401D695" w14:textId="18E58BBC" w:rsidR="005B681E" w:rsidRPr="00441E95" w:rsidRDefault="005B681E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</w:pPr>
          </w:p>
        </w:tc>
      </w:tr>
      <w:tr w:rsidR="00850478" w:rsidRPr="00441E95" w14:paraId="71F76265" w14:textId="77777777" w:rsidTr="001D6774">
        <w:tc>
          <w:tcPr>
            <w:tcW w:w="2065" w:type="dxa"/>
            <w:shd w:val="clear" w:color="auto" w:fill="auto"/>
          </w:tcPr>
          <w:p w14:paraId="4E074D86" w14:textId="392E64B1" w:rsidR="006A5BFE" w:rsidRPr="00441E95" w:rsidRDefault="006A5BFE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</w:pPr>
          </w:p>
        </w:tc>
        <w:tc>
          <w:tcPr>
            <w:tcW w:w="7569" w:type="dxa"/>
            <w:shd w:val="clear" w:color="auto" w:fill="auto"/>
          </w:tcPr>
          <w:p w14:paraId="0935D9F6" w14:textId="43D9B963" w:rsidR="006A5BFE" w:rsidRPr="00441E95" w:rsidRDefault="006A5BFE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</w:pPr>
          </w:p>
        </w:tc>
      </w:tr>
      <w:tr w:rsidR="00850478" w:rsidRPr="00441E95" w14:paraId="50E48F7E" w14:textId="77777777" w:rsidTr="001D6774">
        <w:tc>
          <w:tcPr>
            <w:tcW w:w="2065" w:type="dxa"/>
            <w:shd w:val="clear" w:color="auto" w:fill="auto"/>
          </w:tcPr>
          <w:p w14:paraId="3A86A717" w14:textId="77777777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IP</w:t>
            </w:r>
          </w:p>
        </w:tc>
        <w:tc>
          <w:tcPr>
            <w:tcW w:w="7569" w:type="dxa"/>
            <w:shd w:val="clear" w:color="auto" w:fill="auto"/>
          </w:tcPr>
          <w:p w14:paraId="5AC4F47F" w14:textId="77777777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investicijski prioritet</w:t>
            </w:r>
          </w:p>
        </w:tc>
      </w:tr>
      <w:tr w:rsidR="00850478" w:rsidRPr="00441E95" w14:paraId="3B38F33C" w14:textId="77777777" w:rsidTr="001D6774">
        <w:tc>
          <w:tcPr>
            <w:tcW w:w="2065" w:type="dxa"/>
            <w:shd w:val="clear" w:color="auto" w:fill="auto"/>
          </w:tcPr>
          <w:p w14:paraId="6B61A911" w14:textId="77777777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  <w:t>KF</w:t>
            </w:r>
          </w:p>
        </w:tc>
        <w:tc>
          <w:tcPr>
            <w:tcW w:w="7569" w:type="dxa"/>
            <w:shd w:val="clear" w:color="auto" w:fill="auto"/>
          </w:tcPr>
          <w:p w14:paraId="1C9FD848" w14:textId="77777777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  <w:t>Kohezijski fond</w:t>
            </w:r>
          </w:p>
        </w:tc>
      </w:tr>
      <w:tr w:rsidR="00850478" w:rsidRPr="00441E95" w14:paraId="212C9147" w14:textId="77777777" w:rsidTr="001D6774">
        <w:tc>
          <w:tcPr>
            <w:tcW w:w="2065" w:type="dxa"/>
            <w:shd w:val="clear" w:color="auto" w:fill="auto"/>
          </w:tcPr>
          <w:p w14:paraId="12D81DAA" w14:textId="77777777" w:rsidR="00A50B19" w:rsidRPr="00441E95" w:rsidRDefault="00A50B19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  <w:t>KO</w:t>
            </w:r>
          </w:p>
        </w:tc>
        <w:tc>
          <w:tcPr>
            <w:tcW w:w="7569" w:type="dxa"/>
            <w:shd w:val="clear" w:color="auto" w:fill="auto"/>
          </w:tcPr>
          <w:p w14:paraId="07F6C692" w14:textId="77777777" w:rsidR="00A50B19" w:rsidRPr="00441E95" w:rsidRDefault="00A50B19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  <w:t>kriterij odabira</w:t>
            </w:r>
          </w:p>
        </w:tc>
      </w:tr>
      <w:tr w:rsidR="00850478" w:rsidRPr="00441E95" w14:paraId="0E88A020" w14:textId="77777777" w:rsidTr="001D6774">
        <w:tc>
          <w:tcPr>
            <w:tcW w:w="2065" w:type="dxa"/>
            <w:shd w:val="clear" w:color="auto" w:fill="auto"/>
          </w:tcPr>
          <w:p w14:paraId="45CE1A26" w14:textId="77777777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KP</w:t>
            </w:r>
          </w:p>
        </w:tc>
        <w:tc>
          <w:tcPr>
            <w:tcW w:w="7569" w:type="dxa"/>
            <w:shd w:val="clear" w:color="auto" w:fill="auto"/>
          </w:tcPr>
          <w:p w14:paraId="0ECDF6FA" w14:textId="77777777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krajnji primatelj</w:t>
            </w:r>
          </w:p>
        </w:tc>
      </w:tr>
      <w:tr w:rsidR="00850478" w:rsidRPr="00441E95" w14:paraId="48C2E590" w14:textId="77777777" w:rsidTr="001D6774">
        <w:tc>
          <w:tcPr>
            <w:tcW w:w="2065" w:type="dxa"/>
            <w:shd w:val="clear" w:color="auto" w:fill="auto"/>
          </w:tcPr>
          <w:p w14:paraId="2A73B428" w14:textId="12A9D1B3" w:rsidR="005B681E" w:rsidRPr="00441E95" w:rsidRDefault="005B681E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</w:pPr>
          </w:p>
        </w:tc>
        <w:tc>
          <w:tcPr>
            <w:tcW w:w="7569" w:type="dxa"/>
            <w:shd w:val="clear" w:color="auto" w:fill="auto"/>
          </w:tcPr>
          <w:p w14:paraId="33D335C7" w14:textId="17DE857D" w:rsidR="005B681E" w:rsidRPr="00441E95" w:rsidRDefault="005B681E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</w:pPr>
          </w:p>
        </w:tc>
      </w:tr>
      <w:tr w:rsidR="00850478" w:rsidRPr="00441E95" w14:paraId="4928C8C9" w14:textId="77777777" w:rsidTr="001D6774">
        <w:tc>
          <w:tcPr>
            <w:tcW w:w="2065" w:type="dxa"/>
            <w:shd w:val="clear" w:color="auto" w:fill="auto"/>
          </w:tcPr>
          <w:p w14:paraId="77EDB015" w14:textId="4EB3CE7F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</w:pPr>
          </w:p>
        </w:tc>
        <w:tc>
          <w:tcPr>
            <w:tcW w:w="7569" w:type="dxa"/>
            <w:shd w:val="clear" w:color="auto" w:fill="auto"/>
          </w:tcPr>
          <w:p w14:paraId="74890F9C" w14:textId="6305BFEB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</w:pPr>
          </w:p>
        </w:tc>
      </w:tr>
      <w:tr w:rsidR="00850478" w:rsidRPr="00441E95" w14:paraId="51486ADB" w14:textId="77777777" w:rsidTr="001D6774">
        <w:tc>
          <w:tcPr>
            <w:tcW w:w="2065" w:type="dxa"/>
            <w:shd w:val="clear" w:color="auto" w:fill="auto"/>
          </w:tcPr>
          <w:p w14:paraId="3CAB9D43" w14:textId="77777777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MIS</w:t>
            </w:r>
          </w:p>
        </w:tc>
        <w:tc>
          <w:tcPr>
            <w:tcW w:w="7569" w:type="dxa"/>
            <w:shd w:val="clear" w:color="auto" w:fill="auto"/>
          </w:tcPr>
          <w:p w14:paraId="1EBCEFCE" w14:textId="77777777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integrirani sustav upravljanja informacijama</w:t>
            </w:r>
          </w:p>
        </w:tc>
      </w:tr>
      <w:tr w:rsidR="00850478" w:rsidRPr="00441E95" w14:paraId="30BCE52B" w14:textId="77777777" w:rsidTr="00701073">
        <w:tc>
          <w:tcPr>
            <w:tcW w:w="2065" w:type="dxa"/>
            <w:shd w:val="clear" w:color="auto" w:fill="auto"/>
            <w:vAlign w:val="center"/>
          </w:tcPr>
          <w:p w14:paraId="6238362A" w14:textId="77777777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MSP</w:t>
            </w:r>
          </w:p>
        </w:tc>
        <w:tc>
          <w:tcPr>
            <w:tcW w:w="7569" w:type="dxa"/>
            <w:shd w:val="clear" w:color="auto" w:fill="auto"/>
            <w:vAlign w:val="center"/>
          </w:tcPr>
          <w:p w14:paraId="2182C499" w14:textId="77777777" w:rsidR="005C5D82" w:rsidRPr="00441E95" w:rsidRDefault="005C5D82" w:rsidP="00701073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malo i srednje poduzeće</w:t>
            </w:r>
            <w:r w:rsidR="003B2E42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/ mali i srednji poduzetnik / malo i srednje poduzetništvo </w:t>
            </w:r>
          </w:p>
        </w:tc>
      </w:tr>
      <w:tr w:rsidR="007C5D74" w:rsidRPr="00441E95" w14:paraId="7BF52F32" w14:textId="77777777" w:rsidTr="00701073">
        <w:tc>
          <w:tcPr>
            <w:tcW w:w="2065" w:type="dxa"/>
            <w:shd w:val="clear" w:color="auto" w:fill="auto"/>
            <w:vAlign w:val="center"/>
          </w:tcPr>
          <w:p w14:paraId="097F81AA" w14:textId="72C10839" w:rsidR="007C5D74" w:rsidRPr="00441E95" w:rsidRDefault="007C5D74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OIE</w:t>
            </w:r>
          </w:p>
        </w:tc>
        <w:tc>
          <w:tcPr>
            <w:tcW w:w="7569" w:type="dxa"/>
            <w:shd w:val="clear" w:color="auto" w:fill="auto"/>
            <w:vAlign w:val="center"/>
          </w:tcPr>
          <w:p w14:paraId="7B9E1E16" w14:textId="53030F48" w:rsidR="007C5D74" w:rsidRPr="00441E95" w:rsidRDefault="007C5D74" w:rsidP="00701073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obnovljivi izvori energije</w:t>
            </w:r>
          </w:p>
        </w:tc>
      </w:tr>
      <w:tr w:rsidR="00850478" w:rsidRPr="00441E95" w14:paraId="64C5787C" w14:textId="77777777" w:rsidTr="001D6774">
        <w:tc>
          <w:tcPr>
            <w:tcW w:w="2065" w:type="dxa"/>
            <w:shd w:val="clear" w:color="auto" w:fill="auto"/>
          </w:tcPr>
          <w:p w14:paraId="59B07651" w14:textId="6EA075C8" w:rsidR="004E45B9" w:rsidRPr="00441E95" w:rsidRDefault="004E45B9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</w:pPr>
          </w:p>
        </w:tc>
        <w:tc>
          <w:tcPr>
            <w:tcW w:w="7569" w:type="dxa"/>
            <w:shd w:val="clear" w:color="auto" w:fill="auto"/>
          </w:tcPr>
          <w:p w14:paraId="61B7D724" w14:textId="1CD36A93" w:rsidR="004E45B9" w:rsidRPr="00441E95" w:rsidRDefault="004E45B9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</w:pPr>
          </w:p>
        </w:tc>
      </w:tr>
      <w:tr w:rsidR="00850478" w:rsidRPr="00441E95" w14:paraId="5E9867EB" w14:textId="77777777" w:rsidTr="001D6774">
        <w:tc>
          <w:tcPr>
            <w:tcW w:w="2065" w:type="dxa"/>
            <w:shd w:val="clear" w:color="auto" w:fill="auto"/>
          </w:tcPr>
          <w:p w14:paraId="06AC2948" w14:textId="77777777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OP</w:t>
            </w:r>
          </w:p>
        </w:tc>
        <w:tc>
          <w:tcPr>
            <w:tcW w:w="7569" w:type="dxa"/>
            <w:shd w:val="clear" w:color="auto" w:fill="auto"/>
          </w:tcPr>
          <w:p w14:paraId="15B868C7" w14:textId="77777777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operativni program</w:t>
            </w:r>
          </w:p>
        </w:tc>
      </w:tr>
      <w:tr w:rsidR="00850478" w:rsidRPr="00441E95" w14:paraId="0050FF38" w14:textId="77777777" w:rsidTr="001D6774">
        <w:tc>
          <w:tcPr>
            <w:tcW w:w="2065" w:type="dxa"/>
            <w:shd w:val="clear" w:color="auto" w:fill="auto"/>
          </w:tcPr>
          <w:p w14:paraId="17D7831B" w14:textId="77777777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OPKK</w:t>
            </w:r>
          </w:p>
        </w:tc>
        <w:tc>
          <w:tcPr>
            <w:tcW w:w="7569" w:type="dxa"/>
            <w:shd w:val="clear" w:color="auto" w:fill="auto"/>
          </w:tcPr>
          <w:p w14:paraId="41CD6964" w14:textId="77777777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Operativni program "Konkurentnost i kohezija 2014.-2020:"</w:t>
            </w:r>
          </w:p>
        </w:tc>
      </w:tr>
      <w:tr w:rsidR="00850478" w:rsidRPr="00441E95" w14:paraId="5685B4C6" w14:textId="77777777" w:rsidTr="001D6774">
        <w:tc>
          <w:tcPr>
            <w:tcW w:w="2065" w:type="dxa"/>
            <w:shd w:val="clear" w:color="auto" w:fill="auto"/>
          </w:tcPr>
          <w:p w14:paraId="3E5BAB4F" w14:textId="77777777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OzP</w:t>
            </w:r>
          </w:p>
        </w:tc>
        <w:tc>
          <w:tcPr>
            <w:tcW w:w="7569" w:type="dxa"/>
            <w:shd w:val="clear" w:color="auto" w:fill="auto"/>
          </w:tcPr>
          <w:p w14:paraId="5DC7D6BB" w14:textId="77777777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odbor za praćenje</w:t>
            </w:r>
          </w:p>
        </w:tc>
      </w:tr>
      <w:tr w:rsidR="00850478" w:rsidRPr="00441E95" w14:paraId="30C22EB8" w14:textId="77777777" w:rsidTr="001D6774">
        <w:tc>
          <w:tcPr>
            <w:tcW w:w="2065" w:type="dxa"/>
            <w:shd w:val="clear" w:color="auto" w:fill="auto"/>
          </w:tcPr>
          <w:p w14:paraId="6274FEE6" w14:textId="77777777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PO</w:t>
            </w:r>
          </w:p>
        </w:tc>
        <w:tc>
          <w:tcPr>
            <w:tcW w:w="7569" w:type="dxa"/>
            <w:shd w:val="clear" w:color="auto" w:fill="auto"/>
          </w:tcPr>
          <w:p w14:paraId="3D6397C5" w14:textId="77777777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prioritetna os</w:t>
            </w:r>
          </w:p>
        </w:tc>
      </w:tr>
      <w:tr w:rsidR="00C31C88" w:rsidRPr="00441E95" w14:paraId="3ED7E860" w14:textId="77777777" w:rsidTr="00C31C88">
        <w:tc>
          <w:tcPr>
            <w:tcW w:w="2065" w:type="dxa"/>
          </w:tcPr>
          <w:p w14:paraId="687E158A" w14:textId="75AC590C" w:rsidR="00C31C88" w:rsidRPr="00441E95" w:rsidRDefault="00C31C88" w:rsidP="000B0E99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Po</w:t>
            </w:r>
            <w:r w:rsidR="004E3315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P</w:t>
            </w:r>
          </w:p>
        </w:tc>
        <w:tc>
          <w:tcPr>
            <w:tcW w:w="7569" w:type="dxa"/>
          </w:tcPr>
          <w:p w14:paraId="480D3C87" w14:textId="6FE124C8" w:rsidR="00C31C88" w:rsidRPr="00441E95" w:rsidRDefault="00626F52" w:rsidP="000B0E99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P</w:t>
            </w:r>
            <w:r w:rsidR="00C31C88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riručnik o postupanju</w:t>
            </w:r>
          </w:p>
        </w:tc>
      </w:tr>
      <w:tr w:rsidR="00850478" w:rsidRPr="00441E95" w14:paraId="08D0C001" w14:textId="77777777" w:rsidTr="001D6774">
        <w:tc>
          <w:tcPr>
            <w:tcW w:w="2065" w:type="dxa"/>
            <w:shd w:val="clear" w:color="auto" w:fill="auto"/>
          </w:tcPr>
          <w:p w14:paraId="24870DA1" w14:textId="77777777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PT1</w:t>
            </w:r>
          </w:p>
        </w:tc>
        <w:tc>
          <w:tcPr>
            <w:tcW w:w="7569" w:type="dxa"/>
            <w:shd w:val="clear" w:color="auto" w:fill="auto"/>
          </w:tcPr>
          <w:p w14:paraId="6C22A996" w14:textId="77777777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posredničko tijelo razine 1</w:t>
            </w:r>
          </w:p>
        </w:tc>
      </w:tr>
      <w:tr w:rsidR="00111035" w:rsidRPr="00441E95" w14:paraId="6AD64389" w14:textId="77777777" w:rsidTr="001D6774">
        <w:tc>
          <w:tcPr>
            <w:tcW w:w="2065" w:type="dxa"/>
            <w:shd w:val="clear" w:color="auto" w:fill="auto"/>
          </w:tcPr>
          <w:p w14:paraId="30E941F4" w14:textId="7F8EC307" w:rsidR="00111035" w:rsidRPr="00441E95" w:rsidRDefault="00111035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RH</w:t>
            </w:r>
          </w:p>
        </w:tc>
        <w:tc>
          <w:tcPr>
            <w:tcW w:w="7569" w:type="dxa"/>
            <w:shd w:val="clear" w:color="auto" w:fill="auto"/>
          </w:tcPr>
          <w:p w14:paraId="7F93F977" w14:textId="769BC736" w:rsidR="00111035" w:rsidRPr="00441E95" w:rsidRDefault="00111035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Republika Hrvatska</w:t>
            </w:r>
          </w:p>
        </w:tc>
      </w:tr>
      <w:tr w:rsidR="00850478" w:rsidRPr="00441E95" w14:paraId="6E29FF4A" w14:textId="77777777" w:rsidTr="001D6774">
        <w:tc>
          <w:tcPr>
            <w:tcW w:w="2065" w:type="dxa"/>
            <w:shd w:val="clear" w:color="auto" w:fill="auto"/>
          </w:tcPr>
          <w:p w14:paraId="6857AFEE" w14:textId="7A6B4448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</w:pPr>
          </w:p>
        </w:tc>
        <w:tc>
          <w:tcPr>
            <w:tcW w:w="7569" w:type="dxa"/>
            <w:shd w:val="clear" w:color="auto" w:fill="auto"/>
          </w:tcPr>
          <w:p w14:paraId="07053760" w14:textId="00276F87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</w:pPr>
          </w:p>
        </w:tc>
      </w:tr>
      <w:tr w:rsidR="00850478" w:rsidRPr="00441E95" w14:paraId="44E7415D" w14:textId="77777777" w:rsidTr="001D6774">
        <w:tc>
          <w:tcPr>
            <w:tcW w:w="2065" w:type="dxa"/>
            <w:shd w:val="clear" w:color="auto" w:fill="auto"/>
          </w:tcPr>
          <w:p w14:paraId="5C33BA89" w14:textId="77777777" w:rsidR="00A917B8" w:rsidRPr="00441E95" w:rsidRDefault="00A917B8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SoF</w:t>
            </w:r>
          </w:p>
        </w:tc>
        <w:tc>
          <w:tcPr>
            <w:tcW w:w="7569" w:type="dxa"/>
            <w:shd w:val="clear" w:color="auto" w:fill="auto"/>
          </w:tcPr>
          <w:p w14:paraId="4787EEF6" w14:textId="77777777" w:rsidR="00A917B8" w:rsidRPr="00441E95" w:rsidRDefault="00A917B8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sporazum o financiranju </w:t>
            </w:r>
          </w:p>
        </w:tc>
      </w:tr>
      <w:tr w:rsidR="00850478" w:rsidRPr="00441E95" w14:paraId="7FE1CC53" w14:textId="77777777" w:rsidTr="001D6774">
        <w:tc>
          <w:tcPr>
            <w:tcW w:w="2065" w:type="dxa"/>
            <w:shd w:val="clear" w:color="auto" w:fill="auto"/>
          </w:tcPr>
          <w:p w14:paraId="76C35922" w14:textId="03EE3AC7" w:rsidR="006B36E5" w:rsidRPr="00441E95" w:rsidRDefault="006B36E5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</w:pPr>
          </w:p>
        </w:tc>
        <w:tc>
          <w:tcPr>
            <w:tcW w:w="7569" w:type="dxa"/>
            <w:shd w:val="clear" w:color="auto" w:fill="auto"/>
          </w:tcPr>
          <w:p w14:paraId="3F3F7113" w14:textId="6551A8A1" w:rsidR="006B36E5" w:rsidRPr="00441E95" w:rsidRDefault="006B36E5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</w:pPr>
          </w:p>
        </w:tc>
      </w:tr>
      <w:tr w:rsidR="00850478" w:rsidRPr="00441E95" w14:paraId="4F16CC1E" w14:textId="77777777" w:rsidTr="001D6774">
        <w:tc>
          <w:tcPr>
            <w:tcW w:w="2065" w:type="dxa"/>
            <w:shd w:val="clear" w:color="auto" w:fill="auto"/>
          </w:tcPr>
          <w:p w14:paraId="146897F9" w14:textId="77777777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SUK</w:t>
            </w:r>
          </w:p>
        </w:tc>
        <w:tc>
          <w:tcPr>
            <w:tcW w:w="7569" w:type="dxa"/>
            <w:shd w:val="clear" w:color="auto" w:fill="auto"/>
          </w:tcPr>
          <w:p w14:paraId="0B9ADCD7" w14:textId="77777777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sustav upravljanja i kontrole</w:t>
            </w:r>
          </w:p>
        </w:tc>
      </w:tr>
      <w:tr w:rsidR="00850478" w:rsidRPr="00441E95" w14:paraId="6D3EEA7C" w14:textId="77777777" w:rsidTr="001D6774">
        <w:tc>
          <w:tcPr>
            <w:tcW w:w="2065" w:type="dxa"/>
            <w:shd w:val="clear" w:color="auto" w:fill="auto"/>
          </w:tcPr>
          <w:p w14:paraId="38A17497" w14:textId="77777777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TO</w:t>
            </w:r>
          </w:p>
        </w:tc>
        <w:tc>
          <w:tcPr>
            <w:tcW w:w="7569" w:type="dxa"/>
            <w:shd w:val="clear" w:color="auto" w:fill="auto"/>
          </w:tcPr>
          <w:p w14:paraId="25028898" w14:textId="77777777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tijelo za ovjeravanje</w:t>
            </w:r>
          </w:p>
        </w:tc>
      </w:tr>
      <w:tr w:rsidR="00850478" w:rsidRPr="00441E95" w14:paraId="213F0DE8" w14:textId="77777777" w:rsidTr="001D6774">
        <w:tc>
          <w:tcPr>
            <w:tcW w:w="2065" w:type="dxa"/>
            <w:shd w:val="clear" w:color="auto" w:fill="auto"/>
          </w:tcPr>
          <w:p w14:paraId="21B68AE3" w14:textId="08BF0384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</w:pPr>
          </w:p>
        </w:tc>
        <w:tc>
          <w:tcPr>
            <w:tcW w:w="7569" w:type="dxa"/>
            <w:shd w:val="clear" w:color="auto" w:fill="auto"/>
          </w:tcPr>
          <w:p w14:paraId="72FAF968" w14:textId="22F6962D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</w:pPr>
          </w:p>
        </w:tc>
      </w:tr>
      <w:tr w:rsidR="00850478" w:rsidRPr="00441E95" w14:paraId="77DE5E35" w14:textId="77777777" w:rsidTr="001D6774">
        <w:tc>
          <w:tcPr>
            <w:tcW w:w="2065" w:type="dxa"/>
            <w:shd w:val="clear" w:color="auto" w:fill="auto"/>
          </w:tcPr>
          <w:p w14:paraId="0B055254" w14:textId="77777777" w:rsidR="00320AEE" w:rsidRPr="00441E95" w:rsidRDefault="00320AEE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TPFI</w:t>
            </w:r>
          </w:p>
        </w:tc>
        <w:tc>
          <w:tcPr>
            <w:tcW w:w="7569" w:type="dxa"/>
            <w:shd w:val="clear" w:color="auto" w:fill="auto"/>
          </w:tcPr>
          <w:p w14:paraId="66341A35" w14:textId="77777777" w:rsidR="00320AEE" w:rsidRPr="00441E95" w:rsidRDefault="00320AEE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tijelo koje provodi financijske instrumente</w:t>
            </w:r>
          </w:p>
        </w:tc>
      </w:tr>
      <w:tr w:rsidR="00850478" w:rsidRPr="00441E95" w14:paraId="79C9A6B0" w14:textId="77777777" w:rsidTr="001D6774">
        <w:tc>
          <w:tcPr>
            <w:tcW w:w="2065" w:type="dxa"/>
            <w:shd w:val="clear" w:color="auto" w:fill="auto"/>
          </w:tcPr>
          <w:p w14:paraId="28D11A3B" w14:textId="68EC112A" w:rsidR="00A815B3" w:rsidRPr="00441E95" w:rsidRDefault="00A815B3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</w:pPr>
          </w:p>
        </w:tc>
        <w:tc>
          <w:tcPr>
            <w:tcW w:w="7569" w:type="dxa"/>
            <w:shd w:val="clear" w:color="auto" w:fill="auto"/>
          </w:tcPr>
          <w:p w14:paraId="78E81063" w14:textId="435B69C6" w:rsidR="00A815B3" w:rsidRPr="00441E95" w:rsidRDefault="00A815B3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highlight w:val="yellow"/>
                <w:lang w:val="hr-HR"/>
              </w:rPr>
            </w:pPr>
          </w:p>
        </w:tc>
      </w:tr>
      <w:tr w:rsidR="00850478" w:rsidRPr="00441E95" w14:paraId="2E05F783" w14:textId="77777777" w:rsidTr="001D6774">
        <w:tc>
          <w:tcPr>
            <w:tcW w:w="2065" w:type="dxa"/>
            <w:shd w:val="clear" w:color="auto" w:fill="auto"/>
          </w:tcPr>
          <w:p w14:paraId="480CB08A" w14:textId="77777777" w:rsidR="005D44DB" w:rsidRPr="00441E95" w:rsidRDefault="005D44DB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lastRenderedPageBreak/>
              <w:t>USFI</w:t>
            </w:r>
          </w:p>
        </w:tc>
        <w:tc>
          <w:tcPr>
            <w:tcW w:w="7569" w:type="dxa"/>
            <w:shd w:val="clear" w:color="auto" w:fill="auto"/>
          </w:tcPr>
          <w:p w14:paraId="29DD68B0" w14:textId="77777777" w:rsidR="005D44DB" w:rsidRPr="00441E95" w:rsidRDefault="005D44DB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upravljačka skupina za financijske instrumente</w:t>
            </w:r>
          </w:p>
        </w:tc>
      </w:tr>
      <w:tr w:rsidR="005C5D82" w:rsidRPr="00441E95" w14:paraId="74DCD0B4" w14:textId="77777777" w:rsidTr="001D6774">
        <w:tc>
          <w:tcPr>
            <w:tcW w:w="2065" w:type="dxa"/>
            <w:shd w:val="clear" w:color="auto" w:fill="auto"/>
          </w:tcPr>
          <w:p w14:paraId="35F532AF" w14:textId="77777777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UT</w:t>
            </w:r>
          </w:p>
        </w:tc>
        <w:tc>
          <w:tcPr>
            <w:tcW w:w="7569" w:type="dxa"/>
            <w:shd w:val="clear" w:color="auto" w:fill="auto"/>
          </w:tcPr>
          <w:p w14:paraId="1AA6321A" w14:textId="77777777" w:rsidR="005C5D82" w:rsidRPr="00441E95" w:rsidRDefault="005C5D8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upravljačko tijelo</w:t>
            </w:r>
          </w:p>
        </w:tc>
      </w:tr>
    </w:tbl>
    <w:p w14:paraId="69E05124" w14:textId="46BE4767" w:rsidR="001C0C02" w:rsidRPr="00441E95" w:rsidRDefault="001C0C02">
      <w:pPr>
        <w:tabs>
          <w:tab w:val="clear" w:pos="2160"/>
        </w:tabs>
        <w:spacing w:before="0"/>
        <w:ind w:left="0" w:firstLine="0"/>
        <w:jc w:val="left"/>
        <w:rPr>
          <w:rFonts w:ascii="Times New Roman" w:hAnsi="Times New Roman"/>
          <w:b/>
          <w:bCs/>
          <w:noProof w:val="0"/>
          <w:kern w:val="32"/>
          <w:sz w:val="24"/>
        </w:rPr>
      </w:pPr>
      <w:bookmarkStart w:id="25" w:name="_Toc447899779"/>
    </w:p>
    <w:p w14:paraId="2E28CF43" w14:textId="77777777" w:rsidR="005B0725" w:rsidRPr="00441E95" w:rsidRDefault="006A39DF" w:rsidP="001A2AFF">
      <w:pPr>
        <w:pStyle w:val="Heading1"/>
        <w:spacing w:before="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bookmarkStart w:id="26" w:name="_Toc3300637"/>
      <w:bookmarkStart w:id="27" w:name="_Toc3300676"/>
      <w:r w:rsidRPr="00441E95">
        <w:rPr>
          <w:rFonts w:ascii="Times New Roman" w:hAnsi="Times New Roman" w:cs="Times New Roman"/>
          <w:noProof w:val="0"/>
          <w:sz w:val="24"/>
          <w:szCs w:val="24"/>
        </w:rPr>
        <w:t xml:space="preserve">5. </w:t>
      </w:r>
      <w:r w:rsidR="005B0725" w:rsidRPr="00441E95">
        <w:rPr>
          <w:rFonts w:ascii="Times New Roman" w:hAnsi="Times New Roman" w:cs="Times New Roman"/>
          <w:noProof w:val="0"/>
          <w:sz w:val="24"/>
          <w:szCs w:val="24"/>
        </w:rPr>
        <w:t>P</w:t>
      </w:r>
      <w:r w:rsidR="00932D05" w:rsidRPr="00441E95">
        <w:rPr>
          <w:rFonts w:ascii="Times New Roman" w:hAnsi="Times New Roman" w:cs="Times New Roman"/>
          <w:noProof w:val="0"/>
          <w:sz w:val="24"/>
          <w:szCs w:val="24"/>
        </w:rPr>
        <w:t>OPIS PRILOGA</w:t>
      </w:r>
      <w:bookmarkEnd w:id="25"/>
      <w:bookmarkEnd w:id="26"/>
      <w:bookmarkEnd w:id="27"/>
    </w:p>
    <w:p w14:paraId="6EA4050B" w14:textId="77777777" w:rsidR="00245140" w:rsidRPr="00441E95" w:rsidRDefault="00245140" w:rsidP="001A2AFF">
      <w:pPr>
        <w:rPr>
          <w:rFonts w:ascii="Times New Roman" w:hAnsi="Times New Roman"/>
          <w:noProof w:val="0"/>
          <w:sz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7887"/>
      </w:tblGrid>
      <w:tr w:rsidR="00850478" w:rsidRPr="00441E95" w14:paraId="5643CE6E" w14:textId="77777777" w:rsidTr="7652B322">
        <w:tc>
          <w:tcPr>
            <w:tcW w:w="1129" w:type="dxa"/>
            <w:shd w:val="clear" w:color="auto" w:fill="auto"/>
            <w:vAlign w:val="center"/>
          </w:tcPr>
          <w:p w14:paraId="256270AE" w14:textId="77777777" w:rsidR="005B0725" w:rsidRPr="00441E95" w:rsidRDefault="005B0725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Prilog 01</w:t>
            </w:r>
          </w:p>
        </w:tc>
        <w:tc>
          <w:tcPr>
            <w:tcW w:w="7887" w:type="dxa"/>
            <w:shd w:val="clear" w:color="auto" w:fill="auto"/>
          </w:tcPr>
          <w:p w14:paraId="4C899C73" w14:textId="77777777" w:rsidR="005B0725" w:rsidRPr="00441E95" w:rsidRDefault="001C37BA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eastAsia="Arial" w:hAnsi="Times New Roman"/>
                <w:noProof w:val="0"/>
                <w:sz w:val="24"/>
                <w:szCs w:val="24"/>
                <w:lang w:val="hr-HR"/>
              </w:rPr>
              <w:t>Obrazac kriterija za odabir operacija i pripadajuće metodologije</w:t>
            </w:r>
          </w:p>
        </w:tc>
      </w:tr>
      <w:tr w:rsidR="00850478" w:rsidRPr="00441E95" w14:paraId="25F7065D" w14:textId="77777777" w:rsidTr="7652B322">
        <w:tc>
          <w:tcPr>
            <w:tcW w:w="1129" w:type="dxa"/>
            <w:shd w:val="clear" w:color="auto" w:fill="auto"/>
            <w:vAlign w:val="center"/>
          </w:tcPr>
          <w:p w14:paraId="025325F6" w14:textId="77777777" w:rsidR="00D76A06" w:rsidRPr="00441E95" w:rsidRDefault="00D76A06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Prilog 02</w:t>
            </w:r>
          </w:p>
        </w:tc>
        <w:tc>
          <w:tcPr>
            <w:tcW w:w="7887" w:type="dxa"/>
            <w:shd w:val="clear" w:color="auto" w:fill="auto"/>
          </w:tcPr>
          <w:p w14:paraId="4AE3F33B" w14:textId="170988D5" w:rsidR="00D76A06" w:rsidRPr="00441E95" w:rsidRDefault="00B55107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Obvezni sadržaj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</w:t>
            </w:r>
            <w:r w:rsidR="00D76A06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sporazuma o financiranju</w:t>
            </w:r>
          </w:p>
        </w:tc>
      </w:tr>
      <w:tr w:rsidR="00850478" w:rsidRPr="00441E95" w14:paraId="1A24A786" w14:textId="77777777" w:rsidTr="7652B322">
        <w:tc>
          <w:tcPr>
            <w:tcW w:w="1129" w:type="dxa"/>
            <w:shd w:val="clear" w:color="auto" w:fill="auto"/>
            <w:vAlign w:val="center"/>
          </w:tcPr>
          <w:p w14:paraId="10BBE5CB" w14:textId="77777777" w:rsidR="00D76A06" w:rsidRPr="00441E95" w:rsidRDefault="00D76A06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Prilog 03</w:t>
            </w:r>
          </w:p>
        </w:tc>
        <w:tc>
          <w:tcPr>
            <w:tcW w:w="7887" w:type="dxa"/>
            <w:shd w:val="clear" w:color="auto" w:fill="auto"/>
          </w:tcPr>
          <w:p w14:paraId="136B6594" w14:textId="77777777" w:rsidR="00D76A06" w:rsidRPr="00441E95" w:rsidRDefault="00D76A06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Obrazac za mjesečno izvještavanje</w:t>
            </w:r>
          </w:p>
        </w:tc>
      </w:tr>
      <w:tr w:rsidR="00850478" w:rsidRPr="00441E95" w14:paraId="04E78067" w14:textId="77777777" w:rsidTr="7652B322">
        <w:tc>
          <w:tcPr>
            <w:tcW w:w="1129" w:type="dxa"/>
            <w:shd w:val="clear" w:color="auto" w:fill="auto"/>
            <w:vAlign w:val="center"/>
          </w:tcPr>
          <w:p w14:paraId="0B3B8178" w14:textId="77777777" w:rsidR="00D76A06" w:rsidRPr="00441E95" w:rsidRDefault="00D76A06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Prilog 04</w:t>
            </w:r>
          </w:p>
        </w:tc>
        <w:tc>
          <w:tcPr>
            <w:tcW w:w="7887" w:type="dxa"/>
            <w:shd w:val="clear" w:color="auto" w:fill="auto"/>
          </w:tcPr>
          <w:p w14:paraId="04E29E81" w14:textId="77777777" w:rsidR="00D76A06" w:rsidRPr="00441E95" w:rsidRDefault="00D76A06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Obrazac za </w:t>
            </w:r>
            <w:r w:rsidR="00BF0890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tromjesečno 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izvještavanje</w:t>
            </w:r>
          </w:p>
        </w:tc>
      </w:tr>
      <w:tr w:rsidR="00850478" w:rsidRPr="00441E95" w14:paraId="5D72DC2A" w14:textId="77777777" w:rsidTr="7652B322">
        <w:tc>
          <w:tcPr>
            <w:tcW w:w="1129" w:type="dxa"/>
            <w:shd w:val="clear" w:color="auto" w:fill="auto"/>
            <w:vAlign w:val="center"/>
          </w:tcPr>
          <w:p w14:paraId="4035921C" w14:textId="337B3D0F" w:rsidR="00D76A06" w:rsidRPr="00441E95" w:rsidRDefault="00D76A06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7887" w:type="dxa"/>
            <w:shd w:val="clear" w:color="auto" w:fill="auto"/>
          </w:tcPr>
          <w:p w14:paraId="623319D5" w14:textId="6242420D" w:rsidR="00D76A06" w:rsidRPr="00441E95" w:rsidRDefault="00D76A06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850478" w:rsidRPr="00441E95" w14:paraId="35CF63F7" w14:textId="77777777" w:rsidTr="7652B322">
        <w:tc>
          <w:tcPr>
            <w:tcW w:w="1129" w:type="dxa"/>
            <w:shd w:val="clear" w:color="auto" w:fill="auto"/>
            <w:vAlign w:val="center"/>
          </w:tcPr>
          <w:p w14:paraId="1A7524A8" w14:textId="22ECE728" w:rsidR="00D76A06" w:rsidRPr="00441E95" w:rsidRDefault="00D76A06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Prilog 0</w:t>
            </w:r>
            <w:r w:rsidR="00325FFC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5</w:t>
            </w:r>
          </w:p>
        </w:tc>
        <w:tc>
          <w:tcPr>
            <w:tcW w:w="7887" w:type="dxa"/>
            <w:shd w:val="clear" w:color="auto" w:fill="auto"/>
          </w:tcPr>
          <w:p w14:paraId="1B0BFC01" w14:textId="0349E49F" w:rsidR="00D76A06" w:rsidRPr="00441E95" w:rsidRDefault="00D76A06" w:rsidP="001A2AFF">
            <w:pPr>
              <w:pStyle w:val="Arial105ptbefore"/>
              <w:spacing w:before="0"/>
              <w:jc w:val="both"/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Zahtjev za </w:t>
            </w:r>
            <w:r w:rsidRPr="00441E95"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  <w:t xml:space="preserve">plaćanje </w:t>
            </w:r>
            <w:r w:rsidR="00CF18F1" w:rsidRPr="00441E95"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  <w:t xml:space="preserve">od </w:t>
            </w:r>
            <w:r w:rsidRPr="00441E95"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  <w:t xml:space="preserve">TPFI/FF </w:t>
            </w:r>
          </w:p>
        </w:tc>
      </w:tr>
      <w:tr w:rsidR="00850478" w:rsidRPr="00441E95" w14:paraId="1C8B5BBC" w14:textId="77777777" w:rsidTr="7652B322">
        <w:tc>
          <w:tcPr>
            <w:tcW w:w="1129" w:type="dxa"/>
            <w:shd w:val="clear" w:color="auto" w:fill="auto"/>
            <w:vAlign w:val="center"/>
          </w:tcPr>
          <w:p w14:paraId="703ADE02" w14:textId="44D44FC6" w:rsidR="00D76A06" w:rsidRPr="00441E95" w:rsidRDefault="00D755F8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Prilog 0</w:t>
            </w:r>
            <w:r w:rsidR="00325FFC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6</w:t>
            </w:r>
          </w:p>
        </w:tc>
        <w:tc>
          <w:tcPr>
            <w:tcW w:w="7887" w:type="dxa"/>
            <w:shd w:val="clear" w:color="auto" w:fill="auto"/>
          </w:tcPr>
          <w:p w14:paraId="1D63E66B" w14:textId="035A0681" w:rsidR="00D76A06" w:rsidRPr="00441E95" w:rsidRDefault="00CF18F1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A</w:t>
            </w:r>
            <w:r w:rsidR="00D76A06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naliz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a</w:t>
            </w:r>
            <w:r w:rsidR="00D76A06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radne opterećenosti </w:t>
            </w:r>
          </w:p>
        </w:tc>
      </w:tr>
    </w:tbl>
    <w:p w14:paraId="294AEC01" w14:textId="77777777" w:rsidR="00795DCE" w:rsidRPr="00441E95" w:rsidRDefault="00795DCE" w:rsidP="001A2AFF">
      <w:pPr>
        <w:spacing w:before="0"/>
        <w:rPr>
          <w:rFonts w:ascii="Times New Roman" w:hAnsi="Times New Roman"/>
          <w:noProof w:val="0"/>
          <w:sz w:val="24"/>
        </w:rPr>
      </w:pPr>
      <w:r w:rsidRPr="00441E95">
        <w:rPr>
          <w:rFonts w:ascii="Times New Roman" w:hAnsi="Times New Roman"/>
          <w:noProof w:val="0"/>
          <w:sz w:val="24"/>
        </w:rPr>
        <w:br w:type="page"/>
      </w:r>
    </w:p>
    <w:p w14:paraId="3A4C9863" w14:textId="77777777" w:rsidR="00795DCE" w:rsidRPr="00441E95" w:rsidRDefault="00795DCE" w:rsidP="001A2AFF">
      <w:pPr>
        <w:pStyle w:val="Arial105ptbefore"/>
        <w:spacing w:before="0"/>
        <w:jc w:val="both"/>
        <w:rPr>
          <w:rFonts w:ascii="Times New Roman" w:hAnsi="Times New Roman"/>
          <w:noProof w:val="0"/>
          <w:sz w:val="24"/>
          <w:szCs w:val="24"/>
          <w:lang w:val="hr-HR"/>
        </w:rPr>
        <w:sectPr w:rsidR="00795DCE" w:rsidRPr="00441E95" w:rsidSect="00112B25">
          <w:headerReference w:type="default" r:id="rId11"/>
          <w:footerReference w:type="default" r:id="rId12"/>
          <w:footerReference w:type="first" r:id="rId13"/>
          <w:pgSz w:w="11906" w:h="16838" w:code="9"/>
          <w:pgMar w:top="1440" w:right="851" w:bottom="1440" w:left="1440" w:header="284" w:footer="709" w:gutter="0"/>
          <w:cols w:space="708"/>
          <w:docGrid w:linePitch="360"/>
        </w:sectPr>
      </w:pPr>
    </w:p>
    <w:p w14:paraId="277EE662" w14:textId="13DF1B04" w:rsidR="00795DCE" w:rsidRPr="00441E95" w:rsidRDefault="00B61BEC" w:rsidP="00B3027A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right" w:pos="13958"/>
        </w:tabs>
        <w:spacing w:before="0"/>
        <w:ind w:left="72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bookmarkStart w:id="28" w:name="_Toc447899780"/>
      <w:bookmarkStart w:id="29" w:name="_Toc3300638"/>
      <w:bookmarkStart w:id="30" w:name="_Toc3300677"/>
      <w:r w:rsidRPr="00441E95">
        <w:rPr>
          <w:rFonts w:ascii="Times New Roman" w:hAnsi="Times New Roman" w:cs="Times New Roman"/>
          <w:noProof w:val="0"/>
          <w:sz w:val="24"/>
          <w:szCs w:val="24"/>
        </w:rPr>
        <w:lastRenderedPageBreak/>
        <w:t xml:space="preserve">6. </w:t>
      </w:r>
      <w:r w:rsidR="00381EF2" w:rsidRPr="00441E95">
        <w:rPr>
          <w:rFonts w:ascii="Times New Roman" w:hAnsi="Times New Roman" w:cs="Times New Roman"/>
          <w:noProof w:val="0"/>
          <w:sz w:val="24"/>
          <w:szCs w:val="24"/>
        </w:rPr>
        <w:t>O</w:t>
      </w:r>
      <w:r w:rsidR="008D31CD" w:rsidRPr="00441E95">
        <w:rPr>
          <w:rFonts w:ascii="Times New Roman" w:hAnsi="Times New Roman" w:cs="Times New Roman"/>
          <w:noProof w:val="0"/>
          <w:sz w:val="24"/>
          <w:szCs w:val="24"/>
        </w:rPr>
        <w:t>DGOVORNOSTI I REVIZIJSKI TRAG</w:t>
      </w:r>
      <w:bookmarkEnd w:id="28"/>
      <w:bookmarkEnd w:id="29"/>
      <w:bookmarkEnd w:id="30"/>
      <w:r w:rsidR="008D31CD" w:rsidRPr="00441E95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B3027A" w:rsidRPr="00441E95">
        <w:rPr>
          <w:rFonts w:ascii="Times New Roman" w:hAnsi="Times New Roman" w:cs="Times New Roman"/>
          <w:noProof w:val="0"/>
          <w:sz w:val="24"/>
          <w:szCs w:val="24"/>
        </w:rPr>
        <w:tab/>
      </w:r>
    </w:p>
    <w:p w14:paraId="4A58FDF7" w14:textId="77777777" w:rsidR="00A0217E" w:rsidRPr="00441E95" w:rsidRDefault="00A0217E" w:rsidP="001A2AFF">
      <w:pPr>
        <w:rPr>
          <w:noProof w:val="0"/>
        </w:rPr>
      </w:pPr>
    </w:p>
    <w:tbl>
      <w:tblPr>
        <w:tblW w:w="52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2858"/>
        <w:gridCol w:w="618"/>
        <w:gridCol w:w="551"/>
        <w:gridCol w:w="618"/>
        <w:gridCol w:w="536"/>
        <w:gridCol w:w="498"/>
        <w:gridCol w:w="536"/>
        <w:gridCol w:w="822"/>
        <w:gridCol w:w="1189"/>
        <w:gridCol w:w="5221"/>
      </w:tblGrid>
      <w:tr w:rsidR="00E26341" w:rsidRPr="00441E95" w14:paraId="6E414F11" w14:textId="77777777" w:rsidTr="00F72064">
        <w:trPr>
          <w:cantSplit/>
          <w:trHeight w:val="1984"/>
          <w:tblHeader/>
          <w:jc w:val="center"/>
        </w:trPr>
        <w:tc>
          <w:tcPr>
            <w:tcW w:w="387" w:type="pct"/>
            <w:shd w:val="clear" w:color="auto" w:fill="auto"/>
            <w:vAlign w:val="center"/>
          </w:tcPr>
          <w:p w14:paraId="5313C7B1" w14:textId="77777777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br w:type="page"/>
            </w: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Br.</w:t>
            </w:r>
          </w:p>
        </w:tc>
        <w:tc>
          <w:tcPr>
            <w:tcW w:w="980" w:type="pct"/>
            <w:shd w:val="clear" w:color="auto" w:fill="auto"/>
          </w:tcPr>
          <w:p w14:paraId="38E0BEC6" w14:textId="77777777" w:rsidR="00344050" w:rsidRPr="00441E95" w:rsidRDefault="003440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Institucija</w:t>
            </w:r>
          </w:p>
          <w:p w14:paraId="210373DE" w14:textId="77777777" w:rsidR="00344050" w:rsidRPr="00441E95" w:rsidRDefault="003440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</w:p>
          <w:p w14:paraId="1C80DF7F" w14:textId="77777777" w:rsidR="00344050" w:rsidRPr="00441E95" w:rsidRDefault="003440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</w:p>
          <w:p w14:paraId="170AC86E" w14:textId="77777777" w:rsidR="00344050" w:rsidRPr="00441E95" w:rsidRDefault="003440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</w:p>
          <w:p w14:paraId="13B7EDC5" w14:textId="77777777" w:rsidR="00344050" w:rsidRPr="00441E95" w:rsidRDefault="003440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</w:p>
          <w:p w14:paraId="12294ED3" w14:textId="77777777" w:rsidR="00344050" w:rsidRPr="00441E95" w:rsidRDefault="003440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</w:p>
          <w:p w14:paraId="55C1A73A" w14:textId="77777777" w:rsidR="00344050" w:rsidRPr="00441E95" w:rsidRDefault="003440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Aktivnosti</w:t>
            </w: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14:paraId="01394D37" w14:textId="77777777" w:rsidR="00344050" w:rsidRPr="00441E95" w:rsidRDefault="00344050" w:rsidP="00F72064">
            <w:pPr>
              <w:pStyle w:val="Arial105ptbefore"/>
              <w:spacing w:before="0"/>
              <w:ind w:left="113" w:right="113"/>
              <w:jc w:val="center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UT</w:t>
            </w:r>
          </w:p>
        </w:tc>
        <w:tc>
          <w:tcPr>
            <w:tcW w:w="189" w:type="pct"/>
            <w:shd w:val="clear" w:color="auto" w:fill="auto"/>
            <w:textDirection w:val="btLr"/>
            <w:vAlign w:val="center"/>
          </w:tcPr>
          <w:p w14:paraId="0E53F519" w14:textId="77777777" w:rsidR="00344050" w:rsidRPr="00441E95" w:rsidRDefault="00344050" w:rsidP="00F72064">
            <w:pPr>
              <w:pStyle w:val="Arial105ptbefore"/>
              <w:spacing w:before="0"/>
              <w:ind w:left="113" w:right="113"/>
              <w:jc w:val="center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PT1</w:t>
            </w:r>
          </w:p>
        </w:tc>
        <w:tc>
          <w:tcPr>
            <w:tcW w:w="212" w:type="pct"/>
            <w:shd w:val="clear" w:color="auto" w:fill="auto"/>
            <w:textDirection w:val="btLr"/>
            <w:vAlign w:val="center"/>
          </w:tcPr>
          <w:p w14:paraId="45EE89D0" w14:textId="77777777" w:rsidR="00344050" w:rsidRPr="00441E95" w:rsidRDefault="00344050" w:rsidP="00F72064">
            <w:pPr>
              <w:pStyle w:val="Arial105ptbefore"/>
              <w:spacing w:before="0"/>
              <w:ind w:left="113" w:right="113"/>
              <w:jc w:val="center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TPFI [FF)</w:t>
            </w:r>
          </w:p>
        </w:tc>
        <w:tc>
          <w:tcPr>
            <w:tcW w:w="184" w:type="pct"/>
            <w:shd w:val="clear" w:color="auto" w:fill="auto"/>
            <w:textDirection w:val="btLr"/>
            <w:vAlign w:val="center"/>
          </w:tcPr>
          <w:p w14:paraId="6B29CBB6" w14:textId="77777777" w:rsidR="00344050" w:rsidRPr="00441E95" w:rsidRDefault="00344050" w:rsidP="00F72064">
            <w:pPr>
              <w:pStyle w:val="Arial105ptbefore"/>
              <w:spacing w:before="0"/>
              <w:ind w:left="113" w:right="113"/>
              <w:jc w:val="center"/>
              <w:rPr>
                <w:rFonts w:ascii="Times New Roman" w:hAnsi="Times New Roman"/>
                <w:b/>
                <w:strike/>
                <w:noProof w:val="0"/>
                <w:sz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FP</w:t>
            </w:r>
          </w:p>
        </w:tc>
        <w:tc>
          <w:tcPr>
            <w:tcW w:w="171" w:type="pct"/>
            <w:textDirection w:val="btLr"/>
            <w:vAlign w:val="center"/>
          </w:tcPr>
          <w:p w14:paraId="3D78F0DD" w14:textId="77777777" w:rsidR="00344050" w:rsidRPr="00441E95" w:rsidRDefault="00344050" w:rsidP="00F72064">
            <w:pPr>
              <w:pStyle w:val="Arial105ptbefore"/>
              <w:spacing w:before="0"/>
              <w:ind w:left="113" w:right="113"/>
              <w:jc w:val="center"/>
              <w:rPr>
                <w:rFonts w:ascii="Times New Roman" w:hAnsi="Times New Roman"/>
                <w:b/>
                <w:noProof w:val="0"/>
                <w:sz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OzP</w:t>
            </w:r>
          </w:p>
        </w:tc>
        <w:tc>
          <w:tcPr>
            <w:tcW w:w="184" w:type="pct"/>
            <w:textDirection w:val="btLr"/>
            <w:vAlign w:val="center"/>
          </w:tcPr>
          <w:p w14:paraId="63BD2FEA" w14:textId="77777777" w:rsidR="00344050" w:rsidRPr="00441E95" w:rsidRDefault="00344050" w:rsidP="00F72064">
            <w:pPr>
              <w:pStyle w:val="Arial105ptbefore"/>
              <w:spacing w:before="0"/>
              <w:ind w:left="113" w:right="113"/>
              <w:jc w:val="center"/>
              <w:rPr>
                <w:rFonts w:ascii="Times New Roman" w:hAnsi="Times New Roman"/>
                <w:b/>
                <w:strike/>
                <w:noProof w:val="0"/>
                <w:sz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USFI</w:t>
            </w:r>
          </w:p>
        </w:tc>
        <w:tc>
          <w:tcPr>
            <w:tcW w:w="282" w:type="pct"/>
            <w:textDirection w:val="btLr"/>
            <w:vAlign w:val="center"/>
          </w:tcPr>
          <w:p w14:paraId="6BE417D8" w14:textId="77777777" w:rsidR="00344050" w:rsidRPr="00441E95" w:rsidRDefault="00344050" w:rsidP="00F72064">
            <w:pPr>
              <w:pStyle w:val="Arial105ptbefore"/>
              <w:spacing w:before="0"/>
              <w:ind w:left="113" w:right="113"/>
              <w:jc w:val="center"/>
              <w:rPr>
                <w:rFonts w:ascii="Times New Roman" w:hAnsi="Times New Roman"/>
                <w:b/>
                <w:noProof w:val="0"/>
                <w:sz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TO</w:t>
            </w:r>
          </w:p>
        </w:tc>
        <w:tc>
          <w:tcPr>
            <w:tcW w:w="408" w:type="pct"/>
            <w:textDirection w:val="btLr"/>
            <w:vAlign w:val="center"/>
          </w:tcPr>
          <w:p w14:paraId="2873B2A1" w14:textId="77777777" w:rsidR="00344050" w:rsidRPr="00441E95" w:rsidRDefault="00344050" w:rsidP="00F72064">
            <w:pPr>
              <w:pStyle w:val="Arial105ptbefore"/>
              <w:spacing w:before="0"/>
              <w:ind w:left="113" w:right="113"/>
              <w:jc w:val="center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(vanjski) stručnjak za FI</w:t>
            </w:r>
          </w:p>
        </w:tc>
        <w:tc>
          <w:tcPr>
            <w:tcW w:w="1791" w:type="pct"/>
            <w:shd w:val="clear" w:color="auto" w:fill="auto"/>
            <w:vAlign w:val="center"/>
          </w:tcPr>
          <w:p w14:paraId="79989962" w14:textId="48D89B7A" w:rsidR="00344050" w:rsidRPr="00441E95" w:rsidRDefault="003440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Ulaz za aktivnosti/Naziv izlaza i referenca na oblik dokumenta koji treba ispuniti kao revizorski trag</w:t>
            </w:r>
          </w:p>
        </w:tc>
      </w:tr>
      <w:tr w:rsidR="00A0217E" w:rsidRPr="00441E95" w14:paraId="3EADDD21" w14:textId="77777777" w:rsidTr="00F72064">
        <w:trPr>
          <w:jc w:val="center"/>
        </w:trPr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5A8332CA" w14:textId="77777777" w:rsidR="00A0217E" w:rsidRPr="00441E95" w:rsidRDefault="00BB2186" w:rsidP="00F72064">
            <w:pPr>
              <w:pStyle w:val="Arial105ptbefore"/>
              <w:spacing w:before="0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7.1.</w:t>
            </w:r>
          </w:p>
        </w:tc>
        <w:tc>
          <w:tcPr>
            <w:tcW w:w="2822" w:type="pct"/>
            <w:gridSpan w:val="9"/>
            <w:shd w:val="clear" w:color="auto" w:fill="D9D9D9" w:themeFill="background1" w:themeFillShade="D9"/>
          </w:tcPr>
          <w:p w14:paraId="764053B5" w14:textId="3DBE09D3" w:rsidR="00A0217E" w:rsidRPr="00441E95" w:rsidRDefault="00A0217E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b/>
                <w:noProof w:val="0"/>
                <w:sz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Utvrđivanje potrebe pružanja financijske potpore putem FI</w:t>
            </w:r>
            <w:r w:rsidR="007F5717"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-ja</w:t>
            </w:r>
          </w:p>
        </w:tc>
        <w:tc>
          <w:tcPr>
            <w:tcW w:w="1791" w:type="pct"/>
            <w:vMerge w:val="restart"/>
            <w:shd w:val="clear" w:color="auto" w:fill="auto"/>
          </w:tcPr>
          <w:p w14:paraId="1CD84F47" w14:textId="38D16A0B" w:rsidR="00A0217E" w:rsidRPr="00441E95" w:rsidRDefault="00A0217E" w:rsidP="00EA6306">
            <w:pPr>
              <w:pStyle w:val="Arial105ptbefore"/>
              <w:numPr>
                <w:ilvl w:val="0"/>
                <w:numId w:val="5"/>
              </w:numPr>
              <w:spacing w:before="0"/>
              <w:ind w:left="743" w:hanging="425"/>
              <w:jc w:val="both"/>
              <w:rPr>
                <w:rFonts w:ascii="Times New Roman" w:eastAsia="Arial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eastAsia="Arial" w:hAnsi="Times New Roman"/>
                <w:noProof w:val="0"/>
                <w:sz w:val="24"/>
                <w:szCs w:val="24"/>
                <w:lang w:val="hr-HR"/>
              </w:rPr>
              <w:t xml:space="preserve">Odluka o potrebi </w:t>
            </w:r>
            <w:r w:rsidRPr="00441E95">
              <w:rPr>
                <w:rFonts w:ascii="Times New Roman" w:eastAsia="Arial,Calibri" w:hAnsi="Times New Roman"/>
                <w:noProof w:val="0"/>
                <w:sz w:val="24"/>
                <w:szCs w:val="24"/>
                <w:lang w:val="hr-HR"/>
              </w:rPr>
              <w:t xml:space="preserve">izrade </w:t>
            </w:r>
            <w:r w:rsidRPr="00441E95">
              <w:rPr>
                <w:rFonts w:ascii="Times New Roman" w:eastAsia="Arial,Calibri" w:hAnsi="Times New Roman"/>
                <w:i/>
                <w:noProof w:val="0"/>
                <w:sz w:val="24"/>
                <w:szCs w:val="24"/>
                <w:lang w:val="hr-HR"/>
              </w:rPr>
              <w:t>ex</w:t>
            </w:r>
            <w:r w:rsidR="000B6074" w:rsidRPr="00441E95">
              <w:rPr>
                <w:rFonts w:ascii="Times New Roman" w:eastAsia="Arial,Calibri" w:hAnsi="Times New Roman"/>
                <w:i/>
                <w:noProof w:val="0"/>
                <w:sz w:val="24"/>
                <w:szCs w:val="24"/>
                <w:lang w:val="hr-HR"/>
              </w:rPr>
              <w:t xml:space="preserve"> </w:t>
            </w:r>
            <w:r w:rsidRPr="00441E95">
              <w:rPr>
                <w:rFonts w:ascii="Times New Roman" w:eastAsia="Arial,Calibri" w:hAnsi="Times New Roman"/>
                <w:i/>
                <w:noProof w:val="0"/>
                <w:sz w:val="24"/>
                <w:szCs w:val="24"/>
                <w:lang w:val="hr-HR"/>
              </w:rPr>
              <w:t>ante</w:t>
            </w:r>
            <w:r w:rsidRPr="00441E95">
              <w:rPr>
                <w:rFonts w:ascii="Times New Roman" w:eastAsia="Arial,Calibri" w:hAnsi="Times New Roman"/>
                <w:noProof w:val="0"/>
                <w:sz w:val="24"/>
                <w:szCs w:val="24"/>
                <w:lang w:val="hr-HR"/>
              </w:rPr>
              <w:t xml:space="preserve"> analize (ili izmjena i dopuna)</w:t>
            </w:r>
          </w:p>
          <w:p w14:paraId="31660879" w14:textId="54DDEFDA" w:rsidR="00A0217E" w:rsidRPr="00441E95" w:rsidRDefault="00A0217E" w:rsidP="00EA6306">
            <w:pPr>
              <w:pStyle w:val="Arial105ptbefore"/>
              <w:numPr>
                <w:ilvl w:val="0"/>
                <w:numId w:val="5"/>
              </w:numPr>
              <w:spacing w:before="0"/>
              <w:ind w:left="743" w:hanging="425"/>
              <w:jc w:val="both"/>
              <w:rPr>
                <w:rFonts w:ascii="Times New Roman" w:eastAsia="Arial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eastAsia="Arial" w:hAnsi="Times New Roman"/>
                <w:noProof w:val="0"/>
                <w:sz w:val="24"/>
                <w:szCs w:val="24"/>
                <w:lang w:val="hr-HR"/>
              </w:rPr>
              <w:t xml:space="preserve">Komentari na nacrt </w:t>
            </w:r>
            <w:r w:rsidRPr="00441E95">
              <w:rPr>
                <w:rFonts w:ascii="Times New Roman" w:eastAsia="Arial" w:hAnsi="Times New Roman"/>
                <w:i/>
                <w:noProof w:val="0"/>
                <w:sz w:val="24"/>
                <w:szCs w:val="24"/>
                <w:lang w:val="hr-HR"/>
              </w:rPr>
              <w:t>ex</w:t>
            </w:r>
            <w:r w:rsidR="000B6074" w:rsidRPr="00441E95">
              <w:rPr>
                <w:rFonts w:ascii="Times New Roman" w:eastAsia="Arial" w:hAnsi="Times New Roman"/>
                <w:i/>
                <w:noProof w:val="0"/>
                <w:sz w:val="24"/>
                <w:szCs w:val="24"/>
                <w:lang w:val="hr-HR"/>
              </w:rPr>
              <w:t xml:space="preserve"> </w:t>
            </w:r>
            <w:r w:rsidRPr="00441E95">
              <w:rPr>
                <w:rFonts w:ascii="Times New Roman" w:eastAsia="Arial" w:hAnsi="Times New Roman"/>
                <w:i/>
                <w:noProof w:val="0"/>
                <w:sz w:val="24"/>
                <w:szCs w:val="24"/>
                <w:lang w:val="hr-HR"/>
              </w:rPr>
              <w:t>ante</w:t>
            </w:r>
            <w:r w:rsidRPr="00441E95">
              <w:rPr>
                <w:rFonts w:ascii="Times New Roman" w:eastAsia="Arial" w:hAnsi="Times New Roman"/>
                <w:noProof w:val="0"/>
                <w:sz w:val="24"/>
                <w:szCs w:val="24"/>
                <w:lang w:val="hr-HR"/>
              </w:rPr>
              <w:t xml:space="preserve"> analize </w:t>
            </w:r>
            <w:r w:rsidRPr="00441E95">
              <w:rPr>
                <w:rFonts w:ascii="Times New Roman" w:eastAsia="Arial,Calibri" w:hAnsi="Times New Roman"/>
                <w:noProof w:val="0"/>
                <w:sz w:val="24"/>
                <w:szCs w:val="24"/>
                <w:lang w:val="hr-HR"/>
              </w:rPr>
              <w:t>(ili izmjena i dopuna), ako je primjenjivo</w:t>
            </w:r>
          </w:p>
          <w:p w14:paraId="325FCDD8" w14:textId="61475F73" w:rsidR="00A0217E" w:rsidRPr="00441E95" w:rsidRDefault="00A0217E" w:rsidP="00EA6306">
            <w:pPr>
              <w:pStyle w:val="Arial105ptbefore"/>
              <w:numPr>
                <w:ilvl w:val="0"/>
                <w:numId w:val="5"/>
              </w:numPr>
              <w:spacing w:before="0"/>
              <w:ind w:left="743" w:hanging="425"/>
              <w:jc w:val="both"/>
              <w:rPr>
                <w:rFonts w:ascii="Times New Roman" w:eastAsia="Arial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eastAsia="Arial" w:hAnsi="Times New Roman"/>
                <w:noProof w:val="0"/>
                <w:sz w:val="24"/>
                <w:szCs w:val="24"/>
                <w:lang w:val="hr-HR"/>
              </w:rPr>
              <w:t xml:space="preserve">Potvrda o usvajanju </w:t>
            </w:r>
            <w:r w:rsidRPr="00441E95">
              <w:rPr>
                <w:rFonts w:ascii="Times New Roman" w:eastAsia="Arial" w:hAnsi="Times New Roman"/>
                <w:i/>
                <w:noProof w:val="0"/>
                <w:sz w:val="24"/>
                <w:szCs w:val="24"/>
                <w:lang w:val="hr-HR"/>
              </w:rPr>
              <w:t>ex</w:t>
            </w:r>
            <w:r w:rsidR="000B6074" w:rsidRPr="00441E95">
              <w:rPr>
                <w:rFonts w:ascii="Times New Roman" w:eastAsia="Arial" w:hAnsi="Times New Roman"/>
                <w:i/>
                <w:noProof w:val="0"/>
                <w:sz w:val="24"/>
                <w:szCs w:val="24"/>
                <w:lang w:val="hr-HR"/>
              </w:rPr>
              <w:t xml:space="preserve"> </w:t>
            </w:r>
            <w:r w:rsidRPr="00441E95">
              <w:rPr>
                <w:rFonts w:ascii="Times New Roman" w:eastAsia="Arial" w:hAnsi="Times New Roman"/>
                <w:i/>
                <w:noProof w:val="0"/>
                <w:sz w:val="24"/>
                <w:szCs w:val="24"/>
                <w:lang w:val="hr-HR"/>
              </w:rPr>
              <w:t>ante</w:t>
            </w:r>
            <w:r w:rsidRPr="00441E95">
              <w:rPr>
                <w:rFonts w:ascii="Times New Roman" w:eastAsia="Arial" w:hAnsi="Times New Roman"/>
                <w:noProof w:val="0"/>
                <w:sz w:val="24"/>
                <w:szCs w:val="24"/>
                <w:lang w:val="hr-HR"/>
              </w:rPr>
              <w:t xml:space="preserve"> analize </w:t>
            </w:r>
            <w:r w:rsidRPr="00441E95">
              <w:rPr>
                <w:rFonts w:ascii="Times New Roman" w:eastAsia="Arial,Calibri" w:hAnsi="Times New Roman"/>
                <w:noProof w:val="0"/>
                <w:sz w:val="24"/>
                <w:szCs w:val="24"/>
                <w:lang w:val="hr-HR"/>
              </w:rPr>
              <w:t>(ili izmjena i dopuna)</w:t>
            </w:r>
          </w:p>
          <w:p w14:paraId="2068A0AD" w14:textId="63C9441D" w:rsidR="00A0217E" w:rsidRPr="00441E95" w:rsidRDefault="00A0217E" w:rsidP="00EA6306">
            <w:pPr>
              <w:pStyle w:val="Arial105ptbefore"/>
              <w:numPr>
                <w:ilvl w:val="0"/>
                <w:numId w:val="5"/>
              </w:numPr>
              <w:spacing w:before="0"/>
              <w:ind w:left="743" w:hanging="425"/>
              <w:jc w:val="both"/>
              <w:rPr>
                <w:rFonts w:ascii="Times New Roman" w:eastAsia="Arial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eastAsia="Arial" w:hAnsi="Times New Roman"/>
                <w:noProof w:val="0"/>
                <w:sz w:val="24"/>
                <w:szCs w:val="24"/>
                <w:lang w:val="hr-HR"/>
              </w:rPr>
              <w:t xml:space="preserve">Kada je primjenjivo, ugovor sa stručnjakom za izradu </w:t>
            </w:r>
            <w:r w:rsidRPr="00441E95">
              <w:rPr>
                <w:rFonts w:ascii="Times New Roman" w:eastAsia="Arial" w:hAnsi="Times New Roman"/>
                <w:i/>
                <w:noProof w:val="0"/>
                <w:sz w:val="24"/>
                <w:szCs w:val="24"/>
                <w:lang w:val="hr-HR"/>
              </w:rPr>
              <w:t>ex</w:t>
            </w:r>
            <w:r w:rsidR="00D32C02" w:rsidRPr="00441E95">
              <w:rPr>
                <w:rFonts w:ascii="Times New Roman" w:eastAsia="Arial" w:hAnsi="Times New Roman"/>
                <w:i/>
                <w:noProof w:val="0"/>
                <w:sz w:val="24"/>
                <w:szCs w:val="24"/>
                <w:lang w:val="hr-HR"/>
              </w:rPr>
              <w:t xml:space="preserve"> </w:t>
            </w:r>
            <w:r w:rsidRPr="00441E95">
              <w:rPr>
                <w:rFonts w:ascii="Times New Roman" w:eastAsia="Arial" w:hAnsi="Times New Roman"/>
                <w:i/>
                <w:noProof w:val="0"/>
                <w:sz w:val="24"/>
                <w:szCs w:val="24"/>
                <w:lang w:val="hr-HR"/>
              </w:rPr>
              <w:t>ante</w:t>
            </w:r>
            <w:r w:rsidRPr="00441E95">
              <w:rPr>
                <w:rFonts w:ascii="Times New Roman" w:eastAsia="Arial" w:hAnsi="Times New Roman"/>
                <w:noProof w:val="0"/>
                <w:sz w:val="24"/>
                <w:szCs w:val="24"/>
                <w:lang w:val="hr-HR"/>
              </w:rPr>
              <w:t xml:space="preserve"> analize </w:t>
            </w:r>
            <w:r w:rsidRPr="00441E95">
              <w:rPr>
                <w:rFonts w:ascii="Times New Roman" w:eastAsia="Arial,Calibri" w:hAnsi="Times New Roman"/>
                <w:noProof w:val="0"/>
                <w:sz w:val="24"/>
                <w:szCs w:val="24"/>
                <w:lang w:val="hr-HR"/>
              </w:rPr>
              <w:t>(ili izmjena i dopuna)</w:t>
            </w:r>
          </w:p>
          <w:p w14:paraId="68E8D214" w14:textId="6FB8F112" w:rsidR="00A0217E" w:rsidRPr="00441E95" w:rsidRDefault="00A0217E" w:rsidP="00EA6306">
            <w:pPr>
              <w:pStyle w:val="Arial105ptbefore"/>
              <w:numPr>
                <w:ilvl w:val="0"/>
                <w:numId w:val="5"/>
              </w:numPr>
              <w:spacing w:before="0"/>
              <w:ind w:left="743" w:hanging="425"/>
              <w:jc w:val="both"/>
              <w:rPr>
                <w:rFonts w:ascii="Times New Roman" w:eastAsia="Arial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eastAsia="Arial" w:hAnsi="Times New Roman"/>
                <w:noProof w:val="0"/>
                <w:sz w:val="24"/>
                <w:szCs w:val="24"/>
                <w:lang w:val="hr-HR"/>
              </w:rPr>
              <w:t xml:space="preserve">Bilješka s OzP-a/zapis o pisanoj proceduri o predstavljanju </w:t>
            </w:r>
            <w:r w:rsidRPr="00441E95">
              <w:rPr>
                <w:rFonts w:ascii="Times New Roman" w:eastAsia="Arial" w:hAnsi="Times New Roman"/>
                <w:i/>
                <w:noProof w:val="0"/>
                <w:sz w:val="24"/>
                <w:szCs w:val="24"/>
                <w:lang w:val="hr-HR"/>
              </w:rPr>
              <w:t>ex</w:t>
            </w:r>
            <w:r w:rsidR="000B6074" w:rsidRPr="00441E95">
              <w:rPr>
                <w:rFonts w:ascii="Times New Roman" w:eastAsia="Arial" w:hAnsi="Times New Roman"/>
                <w:i/>
                <w:noProof w:val="0"/>
                <w:sz w:val="24"/>
                <w:szCs w:val="24"/>
                <w:lang w:val="hr-HR"/>
              </w:rPr>
              <w:t xml:space="preserve"> </w:t>
            </w:r>
            <w:r w:rsidRPr="00441E95">
              <w:rPr>
                <w:rFonts w:ascii="Times New Roman" w:eastAsia="Arial" w:hAnsi="Times New Roman"/>
                <w:i/>
                <w:noProof w:val="0"/>
                <w:sz w:val="24"/>
                <w:szCs w:val="24"/>
                <w:lang w:val="hr-HR"/>
              </w:rPr>
              <w:t>ante</w:t>
            </w:r>
            <w:r w:rsidRPr="00441E95">
              <w:rPr>
                <w:rFonts w:ascii="Times New Roman" w:eastAsia="Arial" w:hAnsi="Times New Roman"/>
                <w:noProof w:val="0"/>
                <w:sz w:val="24"/>
                <w:szCs w:val="24"/>
                <w:lang w:val="hr-HR"/>
              </w:rPr>
              <w:t xml:space="preserve"> analize </w:t>
            </w:r>
            <w:r w:rsidRPr="00441E95">
              <w:rPr>
                <w:rFonts w:ascii="Times New Roman" w:eastAsia="Arial,Calibri" w:hAnsi="Times New Roman"/>
                <w:noProof w:val="0"/>
                <w:sz w:val="24"/>
                <w:szCs w:val="24"/>
                <w:lang w:val="hr-HR"/>
              </w:rPr>
              <w:t>(ili izmjena i dopuna)</w:t>
            </w:r>
            <w:r w:rsidR="000B6074" w:rsidRPr="00441E95">
              <w:rPr>
                <w:rFonts w:ascii="Times New Roman" w:eastAsia="Arial,Calibri" w:hAnsi="Times New Roman"/>
                <w:noProof w:val="0"/>
                <w:sz w:val="24"/>
                <w:szCs w:val="24"/>
                <w:lang w:val="hr-HR"/>
              </w:rPr>
              <w:t xml:space="preserve"> </w:t>
            </w:r>
            <w:r w:rsidRPr="00441E95">
              <w:rPr>
                <w:rFonts w:ascii="Times New Roman" w:eastAsia="Arial" w:hAnsi="Times New Roman"/>
                <w:noProof w:val="0"/>
                <w:sz w:val="24"/>
                <w:szCs w:val="24"/>
                <w:lang w:val="hr-HR"/>
              </w:rPr>
              <w:t>OzP-u</w:t>
            </w:r>
          </w:p>
          <w:p w14:paraId="46D0432D" w14:textId="55850C88" w:rsidR="00A0217E" w:rsidRPr="00441E95" w:rsidRDefault="00A0217E" w:rsidP="00EA6306">
            <w:pPr>
              <w:pStyle w:val="Arial105ptbefore"/>
              <w:numPr>
                <w:ilvl w:val="0"/>
                <w:numId w:val="5"/>
              </w:numPr>
              <w:spacing w:before="0"/>
              <w:ind w:left="743" w:hanging="425"/>
              <w:jc w:val="both"/>
              <w:rPr>
                <w:rFonts w:ascii="Times New Roman" w:eastAsia="Arial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eastAsia="Arial" w:hAnsi="Times New Roman"/>
                <w:noProof w:val="0"/>
                <w:sz w:val="24"/>
                <w:szCs w:val="24"/>
                <w:lang w:val="hr-HR"/>
              </w:rPr>
              <w:t xml:space="preserve">Objava sažetka </w:t>
            </w:r>
            <w:r w:rsidRPr="00441E95">
              <w:rPr>
                <w:rFonts w:ascii="Times New Roman" w:eastAsia="Arial" w:hAnsi="Times New Roman"/>
                <w:i/>
                <w:noProof w:val="0"/>
                <w:sz w:val="24"/>
                <w:szCs w:val="24"/>
                <w:lang w:val="hr-HR"/>
              </w:rPr>
              <w:t>ex</w:t>
            </w:r>
            <w:r w:rsidR="000B6074" w:rsidRPr="00441E95">
              <w:rPr>
                <w:rFonts w:ascii="Times New Roman" w:eastAsia="Arial" w:hAnsi="Times New Roman"/>
                <w:i/>
                <w:noProof w:val="0"/>
                <w:sz w:val="24"/>
                <w:szCs w:val="24"/>
                <w:lang w:val="hr-HR"/>
              </w:rPr>
              <w:t xml:space="preserve"> </w:t>
            </w:r>
            <w:r w:rsidRPr="00441E95">
              <w:rPr>
                <w:rFonts w:ascii="Times New Roman" w:eastAsia="Arial" w:hAnsi="Times New Roman"/>
                <w:i/>
                <w:noProof w:val="0"/>
                <w:sz w:val="24"/>
                <w:szCs w:val="24"/>
                <w:lang w:val="hr-HR"/>
              </w:rPr>
              <w:t>ante</w:t>
            </w:r>
            <w:r w:rsidRPr="00441E95">
              <w:rPr>
                <w:rFonts w:ascii="Times New Roman" w:eastAsia="Arial" w:hAnsi="Times New Roman"/>
                <w:noProof w:val="0"/>
                <w:sz w:val="24"/>
                <w:szCs w:val="24"/>
                <w:lang w:val="hr-HR"/>
              </w:rPr>
              <w:t xml:space="preserve"> analize </w:t>
            </w:r>
            <w:r w:rsidRPr="00441E95">
              <w:rPr>
                <w:rFonts w:ascii="Times New Roman" w:eastAsia="Arial,Calibri" w:hAnsi="Times New Roman"/>
                <w:noProof w:val="0"/>
                <w:sz w:val="24"/>
                <w:szCs w:val="24"/>
                <w:lang w:val="hr-HR"/>
              </w:rPr>
              <w:t xml:space="preserve">(ili izmjena i dopuna) </w:t>
            </w:r>
            <w:r w:rsidRPr="00441E95">
              <w:rPr>
                <w:rFonts w:ascii="Times New Roman" w:eastAsia="Arial" w:hAnsi="Times New Roman"/>
                <w:noProof w:val="0"/>
                <w:sz w:val="24"/>
                <w:szCs w:val="24"/>
                <w:lang w:val="hr-HR"/>
              </w:rPr>
              <w:t xml:space="preserve">na stranici OPKK (središnjoj stranici </w:t>
            </w:r>
            <w:r w:rsidR="00111AFB" w:rsidRPr="00441E95">
              <w:rPr>
                <w:rFonts w:ascii="Times New Roman" w:eastAsia="Arial" w:hAnsi="Times New Roman"/>
                <w:noProof w:val="0"/>
                <w:sz w:val="24"/>
                <w:szCs w:val="24"/>
                <w:lang w:val="hr-HR"/>
              </w:rPr>
              <w:t>ESIF-a</w:t>
            </w:r>
            <w:r w:rsidRPr="00441E95">
              <w:rPr>
                <w:rFonts w:ascii="Times New Roman" w:eastAsia="Arial" w:hAnsi="Times New Roman"/>
                <w:noProof w:val="0"/>
                <w:sz w:val="24"/>
                <w:szCs w:val="24"/>
                <w:lang w:val="hr-HR"/>
              </w:rPr>
              <w:t>)</w:t>
            </w:r>
          </w:p>
        </w:tc>
      </w:tr>
      <w:tr w:rsidR="00E26341" w:rsidRPr="00441E95" w14:paraId="07A2B9E6" w14:textId="77777777" w:rsidTr="00F72064">
        <w:trPr>
          <w:jc w:val="center"/>
        </w:trPr>
        <w:tc>
          <w:tcPr>
            <w:tcW w:w="387" w:type="pct"/>
            <w:shd w:val="clear" w:color="auto" w:fill="auto"/>
            <w:vAlign w:val="center"/>
          </w:tcPr>
          <w:p w14:paraId="2F091547" w14:textId="77777777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980" w:type="pct"/>
            <w:shd w:val="clear" w:color="auto" w:fill="auto"/>
          </w:tcPr>
          <w:p w14:paraId="0A8219EA" w14:textId="6C3E9811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Angažiranje (vanjskog) stručnjaka za </w:t>
            </w:r>
            <w:r w:rsidR="002B4EDF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FI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3C28E6AC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R, A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82624F6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C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3A64A7FE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C</w:t>
            </w:r>
          </w:p>
        </w:tc>
        <w:tc>
          <w:tcPr>
            <w:tcW w:w="184" w:type="pct"/>
            <w:shd w:val="clear" w:color="auto" w:fill="auto"/>
            <w:vAlign w:val="center"/>
          </w:tcPr>
          <w:p w14:paraId="428D7EB6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1" w:type="pct"/>
            <w:vAlign w:val="center"/>
          </w:tcPr>
          <w:p w14:paraId="4942D1E0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vAlign w:val="center"/>
          </w:tcPr>
          <w:p w14:paraId="237A5C56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82" w:type="pct"/>
            <w:vAlign w:val="center"/>
          </w:tcPr>
          <w:p w14:paraId="2835208B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408" w:type="pct"/>
            <w:vAlign w:val="center"/>
          </w:tcPr>
          <w:p w14:paraId="192E2B0C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C</w:t>
            </w:r>
          </w:p>
        </w:tc>
        <w:tc>
          <w:tcPr>
            <w:tcW w:w="1791" w:type="pct"/>
            <w:vMerge/>
            <w:shd w:val="clear" w:color="auto" w:fill="auto"/>
          </w:tcPr>
          <w:p w14:paraId="1B3627D4" w14:textId="77777777" w:rsidR="00344050" w:rsidRPr="00441E95" w:rsidRDefault="003440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E26341" w:rsidRPr="00441E95" w14:paraId="26FBA6AB" w14:textId="77777777" w:rsidTr="00F72064">
        <w:trPr>
          <w:jc w:val="center"/>
        </w:trPr>
        <w:tc>
          <w:tcPr>
            <w:tcW w:w="387" w:type="pct"/>
            <w:shd w:val="clear" w:color="auto" w:fill="auto"/>
            <w:vAlign w:val="center"/>
          </w:tcPr>
          <w:p w14:paraId="08C263C8" w14:textId="77777777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980" w:type="pct"/>
            <w:shd w:val="clear" w:color="auto" w:fill="auto"/>
          </w:tcPr>
          <w:p w14:paraId="247A9E1D" w14:textId="77777777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Izrada/izmjena </w:t>
            </w:r>
            <w:r w:rsidRPr="00441E95">
              <w:rPr>
                <w:rFonts w:ascii="Times New Roman" w:hAnsi="Times New Roman"/>
                <w:i/>
                <w:noProof w:val="0"/>
                <w:sz w:val="24"/>
                <w:szCs w:val="24"/>
                <w:lang w:val="hr-HR"/>
              </w:rPr>
              <w:t>ex ante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analize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0F1089B1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A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87F05E6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C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0C11FDAF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14:paraId="293DCDBC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1" w:type="pct"/>
            <w:vAlign w:val="center"/>
          </w:tcPr>
          <w:p w14:paraId="430A70C0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vAlign w:val="center"/>
          </w:tcPr>
          <w:p w14:paraId="02944C39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(C)</w:t>
            </w:r>
          </w:p>
        </w:tc>
        <w:tc>
          <w:tcPr>
            <w:tcW w:w="282" w:type="pct"/>
            <w:vAlign w:val="center"/>
          </w:tcPr>
          <w:p w14:paraId="0E3CCB5A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408" w:type="pct"/>
            <w:vAlign w:val="center"/>
          </w:tcPr>
          <w:p w14:paraId="4D51E85B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</w:t>
            </w:r>
          </w:p>
        </w:tc>
        <w:tc>
          <w:tcPr>
            <w:tcW w:w="1791" w:type="pct"/>
            <w:vMerge/>
            <w:shd w:val="clear" w:color="auto" w:fill="auto"/>
          </w:tcPr>
          <w:p w14:paraId="5A4BBF6D" w14:textId="77777777" w:rsidR="00344050" w:rsidRPr="00441E95" w:rsidRDefault="003440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E26341" w:rsidRPr="00441E95" w14:paraId="2E9ED8D5" w14:textId="77777777" w:rsidTr="00F72064">
        <w:trPr>
          <w:jc w:val="center"/>
        </w:trPr>
        <w:tc>
          <w:tcPr>
            <w:tcW w:w="387" w:type="pct"/>
            <w:shd w:val="clear" w:color="auto" w:fill="auto"/>
            <w:vAlign w:val="center"/>
          </w:tcPr>
          <w:p w14:paraId="1F35C172" w14:textId="77777777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980" w:type="pct"/>
            <w:shd w:val="clear" w:color="auto" w:fill="auto"/>
          </w:tcPr>
          <w:p w14:paraId="6C4AE54A" w14:textId="77777777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eastAsia="Arial" w:hAnsi="Times New Roman"/>
                <w:noProof w:val="0"/>
                <w:sz w:val="24"/>
                <w:szCs w:val="24"/>
                <w:lang w:val="hr-HR"/>
              </w:rPr>
              <w:t xml:space="preserve">Predstavljanje </w:t>
            </w:r>
            <w:r w:rsidRPr="00441E95">
              <w:rPr>
                <w:rFonts w:ascii="Times New Roman" w:eastAsia="Arial" w:hAnsi="Times New Roman"/>
                <w:i/>
                <w:noProof w:val="0"/>
                <w:sz w:val="24"/>
                <w:szCs w:val="24"/>
                <w:lang w:val="hr-HR"/>
              </w:rPr>
              <w:t>ex ante</w:t>
            </w:r>
            <w:r w:rsidRPr="00441E95">
              <w:rPr>
                <w:rFonts w:ascii="Times New Roman" w:eastAsia="Arial" w:hAnsi="Times New Roman"/>
                <w:noProof w:val="0"/>
                <w:sz w:val="24"/>
                <w:szCs w:val="24"/>
                <w:lang w:val="hr-HR"/>
              </w:rPr>
              <w:t xml:space="preserve"> analize </w:t>
            </w:r>
            <w:r w:rsidRPr="00441E95">
              <w:rPr>
                <w:rFonts w:ascii="Times New Roman" w:eastAsia="Arial,Calibri" w:hAnsi="Times New Roman"/>
                <w:noProof w:val="0"/>
                <w:sz w:val="24"/>
                <w:szCs w:val="24"/>
                <w:lang w:val="hr-HR"/>
              </w:rPr>
              <w:t xml:space="preserve">(ili izmjena i dopuna) </w:t>
            </w:r>
            <w:r w:rsidRPr="00441E95">
              <w:rPr>
                <w:rFonts w:ascii="Times New Roman" w:eastAsia="Arial" w:hAnsi="Times New Roman"/>
                <w:noProof w:val="0"/>
                <w:sz w:val="24"/>
                <w:szCs w:val="24"/>
                <w:lang w:val="hr-HR"/>
              </w:rPr>
              <w:t>OzP-u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104B2E8A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F4511EA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 w14:paraId="07CD172D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14:paraId="61FED2AB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1" w:type="pct"/>
            <w:vAlign w:val="center"/>
          </w:tcPr>
          <w:p w14:paraId="07E4C23E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C, I</w:t>
            </w:r>
          </w:p>
        </w:tc>
        <w:tc>
          <w:tcPr>
            <w:tcW w:w="184" w:type="pct"/>
            <w:vAlign w:val="center"/>
          </w:tcPr>
          <w:p w14:paraId="6DFC6903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</w:t>
            </w:r>
          </w:p>
        </w:tc>
        <w:tc>
          <w:tcPr>
            <w:tcW w:w="282" w:type="pct"/>
            <w:vAlign w:val="center"/>
          </w:tcPr>
          <w:p w14:paraId="0755838A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408" w:type="pct"/>
            <w:vAlign w:val="center"/>
          </w:tcPr>
          <w:p w14:paraId="76A40AE3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91" w:type="pct"/>
            <w:vMerge/>
            <w:shd w:val="clear" w:color="auto" w:fill="auto"/>
          </w:tcPr>
          <w:p w14:paraId="0E42AACB" w14:textId="77777777" w:rsidR="00344050" w:rsidRPr="00441E95" w:rsidRDefault="003440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E26341" w:rsidRPr="00441E95" w14:paraId="4A558D06" w14:textId="77777777" w:rsidTr="00F72064">
        <w:trPr>
          <w:trHeight w:val="820"/>
          <w:jc w:val="center"/>
        </w:trPr>
        <w:tc>
          <w:tcPr>
            <w:tcW w:w="387" w:type="pct"/>
            <w:shd w:val="clear" w:color="auto" w:fill="auto"/>
            <w:vAlign w:val="center"/>
          </w:tcPr>
          <w:p w14:paraId="1EF127DE" w14:textId="77777777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980" w:type="pct"/>
            <w:shd w:val="clear" w:color="auto" w:fill="auto"/>
          </w:tcPr>
          <w:p w14:paraId="249323E0" w14:textId="77777777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eastAsia="Arial" w:hAnsi="Times New Roman"/>
                <w:noProof w:val="0"/>
                <w:sz w:val="24"/>
                <w:szCs w:val="24"/>
                <w:lang w:val="hr-HR"/>
              </w:rPr>
              <w:t xml:space="preserve">Informiranje javnosti o usvajanju </w:t>
            </w:r>
            <w:r w:rsidRPr="00441E95">
              <w:rPr>
                <w:rFonts w:ascii="Times New Roman" w:eastAsia="Arial" w:hAnsi="Times New Roman"/>
                <w:i/>
                <w:noProof w:val="0"/>
                <w:sz w:val="24"/>
                <w:szCs w:val="24"/>
                <w:lang w:val="hr-HR"/>
              </w:rPr>
              <w:t>ex ante</w:t>
            </w:r>
            <w:r w:rsidRPr="00441E95">
              <w:rPr>
                <w:rFonts w:ascii="Times New Roman" w:eastAsia="Arial" w:hAnsi="Times New Roman"/>
                <w:noProof w:val="0"/>
                <w:sz w:val="24"/>
                <w:szCs w:val="24"/>
                <w:lang w:val="hr-HR"/>
              </w:rPr>
              <w:t xml:space="preserve"> analize </w:t>
            </w:r>
            <w:r w:rsidRPr="00441E95">
              <w:rPr>
                <w:rFonts w:ascii="Times New Roman" w:eastAsia="Arial,Calibri" w:hAnsi="Times New Roman"/>
                <w:noProof w:val="0"/>
                <w:sz w:val="24"/>
                <w:szCs w:val="24"/>
                <w:lang w:val="hr-HR"/>
              </w:rPr>
              <w:t>(ili izmjena i dopuna)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3BD41301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1E9E3E8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 w14:paraId="14D90D41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14:paraId="65DE4583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1" w:type="pct"/>
            <w:vAlign w:val="center"/>
          </w:tcPr>
          <w:p w14:paraId="1B1D96B2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vAlign w:val="center"/>
          </w:tcPr>
          <w:p w14:paraId="592AF7EA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82" w:type="pct"/>
            <w:vAlign w:val="center"/>
          </w:tcPr>
          <w:p w14:paraId="6075B043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408" w:type="pct"/>
            <w:vAlign w:val="center"/>
          </w:tcPr>
          <w:p w14:paraId="1DF7D588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91" w:type="pct"/>
            <w:vMerge/>
            <w:shd w:val="clear" w:color="auto" w:fill="auto"/>
          </w:tcPr>
          <w:p w14:paraId="47C7780E" w14:textId="77777777" w:rsidR="00344050" w:rsidRPr="00441E95" w:rsidRDefault="003440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A0217E" w:rsidRPr="00441E95" w14:paraId="7A0AAB30" w14:textId="77777777" w:rsidTr="00F72064">
        <w:trPr>
          <w:jc w:val="center"/>
        </w:trPr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4F0FF426" w14:textId="77777777" w:rsidR="00A0217E" w:rsidRPr="00441E95" w:rsidRDefault="00BB2186" w:rsidP="00F72064">
            <w:pPr>
              <w:pStyle w:val="Arial105ptbefore"/>
              <w:spacing w:before="0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7.2.</w:t>
            </w:r>
          </w:p>
        </w:tc>
        <w:tc>
          <w:tcPr>
            <w:tcW w:w="2822" w:type="pct"/>
            <w:gridSpan w:val="9"/>
            <w:shd w:val="clear" w:color="auto" w:fill="D9D9D9" w:themeFill="background1" w:themeFillShade="D9"/>
          </w:tcPr>
          <w:p w14:paraId="32162EE5" w14:textId="07661EFE" w:rsidR="00A0217E" w:rsidRPr="00441E95" w:rsidRDefault="00A0217E" w:rsidP="00BB2186">
            <w:pPr>
              <w:pStyle w:val="Arial105ptbefore"/>
              <w:spacing w:before="0"/>
              <w:jc w:val="both"/>
              <w:rPr>
                <w:rFonts w:ascii="Times New Roman" w:hAnsi="Times New Roman"/>
                <w:b/>
                <w:noProof w:val="0"/>
                <w:sz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 xml:space="preserve">Uspostava sustava provedbe </w:t>
            </w:r>
            <w:r w:rsidR="003467B1"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FI-ja</w:t>
            </w:r>
            <w:r w:rsidR="00544D81"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 xml:space="preserve"> </w:t>
            </w:r>
          </w:p>
        </w:tc>
        <w:tc>
          <w:tcPr>
            <w:tcW w:w="1791" w:type="pct"/>
            <w:vMerge w:val="restart"/>
            <w:shd w:val="clear" w:color="auto" w:fill="auto"/>
          </w:tcPr>
          <w:p w14:paraId="1811DFE9" w14:textId="385CBC23" w:rsidR="00A0217E" w:rsidRPr="00441E95" w:rsidRDefault="00D57F05" w:rsidP="00EA6306">
            <w:pPr>
              <w:pStyle w:val="Arial105ptbefore"/>
              <w:numPr>
                <w:ilvl w:val="0"/>
                <w:numId w:val="5"/>
              </w:numPr>
              <w:spacing w:before="0"/>
              <w:ind w:hanging="402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o</w:t>
            </w:r>
            <w:r w:rsidR="00A0217E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dobreni kriteriji za odabir operacija FI</w:t>
            </w:r>
            <w:r w:rsidR="001C1A74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-ja</w:t>
            </w:r>
          </w:p>
          <w:p w14:paraId="00C7A386" w14:textId="58AA5D36" w:rsidR="00A0217E" w:rsidRPr="00441E95" w:rsidRDefault="00D57F05" w:rsidP="00D57F05">
            <w:pPr>
              <w:pStyle w:val="Arial105ptbefore"/>
              <w:numPr>
                <w:ilvl w:val="0"/>
                <w:numId w:val="5"/>
              </w:numPr>
              <w:spacing w:before="0"/>
              <w:ind w:hanging="402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odluka UT-a o povjeravanju provedbe FI-ja TPFI-ju</w:t>
            </w:r>
          </w:p>
          <w:p w14:paraId="05D8EFCD" w14:textId="1AC6B9EF" w:rsidR="00A0217E" w:rsidRPr="00441E95" w:rsidRDefault="00D57F05" w:rsidP="00EA6306">
            <w:pPr>
              <w:pStyle w:val="Arial105ptbefore"/>
              <w:numPr>
                <w:ilvl w:val="0"/>
                <w:numId w:val="5"/>
              </w:numPr>
              <w:spacing w:before="0"/>
              <w:ind w:hanging="402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p</w:t>
            </w:r>
            <w:r w:rsidR="00A0217E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otpisan SoF</w:t>
            </w:r>
          </w:p>
          <w:p w14:paraId="6E742DB7" w14:textId="54D7CD15" w:rsidR="00A0217E" w:rsidRPr="00441E95" w:rsidRDefault="00D57F05" w:rsidP="00EA6306">
            <w:pPr>
              <w:pStyle w:val="Arial105ptbefore"/>
              <w:numPr>
                <w:ilvl w:val="0"/>
                <w:numId w:val="5"/>
              </w:numPr>
              <w:spacing w:before="0"/>
              <w:ind w:hanging="402"/>
              <w:jc w:val="both"/>
              <w:rPr>
                <w:rFonts w:ascii="Times New Roman" w:hAnsi="Times New Roman"/>
                <w:b/>
                <w:noProof w:val="0"/>
                <w:sz w:val="24"/>
                <w:lang w:val="hr-HR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k</w:t>
            </w:r>
            <w:r w:rsidR="00A0217E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ada je primjenjivo</w:t>
            </w:r>
            <w:r w:rsidR="00A17D37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,</w:t>
            </w:r>
            <w:r w:rsidR="00A0217E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nacrt PoP</w:t>
            </w:r>
            <w:r w:rsidR="00D32C02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-a</w:t>
            </w:r>
            <w:r w:rsidR="00A0217E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i usvojeni PoP</w:t>
            </w:r>
          </w:p>
        </w:tc>
      </w:tr>
      <w:tr w:rsidR="00BF141D" w:rsidRPr="00441E95" w14:paraId="29E1894D" w14:textId="77777777" w:rsidTr="00F72064">
        <w:trPr>
          <w:jc w:val="center"/>
        </w:trPr>
        <w:tc>
          <w:tcPr>
            <w:tcW w:w="387" w:type="pct"/>
            <w:shd w:val="clear" w:color="auto" w:fill="auto"/>
            <w:vAlign w:val="center"/>
          </w:tcPr>
          <w:p w14:paraId="390662B6" w14:textId="330ACD56" w:rsidR="00BF141D" w:rsidRPr="00441E95" w:rsidRDefault="00BF141D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lastRenderedPageBreak/>
              <w:t>7.2.a</w:t>
            </w:r>
          </w:p>
        </w:tc>
        <w:tc>
          <w:tcPr>
            <w:tcW w:w="980" w:type="pct"/>
            <w:shd w:val="clear" w:color="auto" w:fill="auto"/>
          </w:tcPr>
          <w:p w14:paraId="4505AE91" w14:textId="2DCA85D7" w:rsidR="00BF141D" w:rsidRPr="00441E95" w:rsidRDefault="00BF141D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Priprema kriterija za odabir operacija i pripadajuće metodologije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0606D156" w14:textId="526DB7B8" w:rsidR="00BF141D" w:rsidRPr="00441E95" w:rsidRDefault="00BF141D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A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E998FDB" w14:textId="3F379576" w:rsidR="00BF141D" w:rsidRPr="00441E95" w:rsidRDefault="00BF141D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7430A690" w14:textId="77777777" w:rsidR="00BF141D" w:rsidRPr="00441E95" w:rsidRDefault="00BF141D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14:paraId="0972D2A2" w14:textId="77777777" w:rsidR="00BF141D" w:rsidRPr="00441E95" w:rsidRDefault="00BF141D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1" w:type="pct"/>
            <w:vAlign w:val="center"/>
          </w:tcPr>
          <w:p w14:paraId="15074F1F" w14:textId="77777777" w:rsidR="00BF141D" w:rsidRPr="00441E95" w:rsidRDefault="00BF141D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vAlign w:val="center"/>
          </w:tcPr>
          <w:p w14:paraId="54730990" w14:textId="77777777" w:rsidR="00BF141D" w:rsidRPr="00441E95" w:rsidRDefault="00BF141D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82" w:type="pct"/>
            <w:vAlign w:val="center"/>
          </w:tcPr>
          <w:p w14:paraId="5C42C715" w14:textId="77777777" w:rsidR="00BF141D" w:rsidRPr="00441E95" w:rsidRDefault="00BF141D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408" w:type="pct"/>
            <w:vAlign w:val="center"/>
          </w:tcPr>
          <w:p w14:paraId="08DC4E71" w14:textId="77777777" w:rsidR="00BF141D" w:rsidRPr="00441E95" w:rsidRDefault="00BF141D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91" w:type="pct"/>
            <w:vMerge/>
            <w:shd w:val="clear" w:color="auto" w:fill="auto"/>
          </w:tcPr>
          <w:p w14:paraId="06BA086A" w14:textId="77777777" w:rsidR="00BF141D" w:rsidRPr="00441E95" w:rsidRDefault="00BF141D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E26341" w:rsidRPr="00441E95" w14:paraId="03C4DE99" w14:textId="77777777" w:rsidTr="00F72064">
        <w:trPr>
          <w:jc w:val="center"/>
        </w:trPr>
        <w:tc>
          <w:tcPr>
            <w:tcW w:w="387" w:type="pct"/>
            <w:shd w:val="clear" w:color="auto" w:fill="auto"/>
            <w:vAlign w:val="center"/>
          </w:tcPr>
          <w:p w14:paraId="06564C00" w14:textId="75E36E80" w:rsidR="00344050" w:rsidRPr="00441E95" w:rsidRDefault="002173DB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7.2.</w:t>
            </w:r>
            <w:r w:rsidR="00BF141D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b</w:t>
            </w:r>
          </w:p>
        </w:tc>
        <w:tc>
          <w:tcPr>
            <w:tcW w:w="980" w:type="pct"/>
            <w:shd w:val="clear" w:color="auto" w:fill="auto"/>
          </w:tcPr>
          <w:p w14:paraId="37AE3D58" w14:textId="77777777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Usvajanje kriterija za odabir operacija i pripadajuće metodologije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32742C4A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2DD3EC20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 w14:paraId="361647EA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14:paraId="0FD1B001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1" w:type="pct"/>
            <w:vAlign w:val="center"/>
          </w:tcPr>
          <w:p w14:paraId="7A59E197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A</w:t>
            </w:r>
          </w:p>
        </w:tc>
        <w:tc>
          <w:tcPr>
            <w:tcW w:w="184" w:type="pct"/>
            <w:vAlign w:val="center"/>
          </w:tcPr>
          <w:p w14:paraId="653045C7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82" w:type="pct"/>
            <w:vAlign w:val="center"/>
          </w:tcPr>
          <w:p w14:paraId="07F1E11A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408" w:type="pct"/>
            <w:vAlign w:val="center"/>
          </w:tcPr>
          <w:p w14:paraId="655554F2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91" w:type="pct"/>
            <w:vMerge/>
            <w:shd w:val="clear" w:color="auto" w:fill="auto"/>
          </w:tcPr>
          <w:p w14:paraId="15A8B217" w14:textId="77777777" w:rsidR="00344050" w:rsidRPr="00441E95" w:rsidRDefault="003440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E26341" w:rsidRPr="00441E95" w14:paraId="49B7E988" w14:textId="77777777" w:rsidTr="00F72064">
        <w:trPr>
          <w:jc w:val="center"/>
        </w:trPr>
        <w:tc>
          <w:tcPr>
            <w:tcW w:w="387" w:type="pct"/>
            <w:shd w:val="clear" w:color="auto" w:fill="auto"/>
            <w:vAlign w:val="center"/>
          </w:tcPr>
          <w:p w14:paraId="329C3693" w14:textId="31131678" w:rsidR="00344050" w:rsidRPr="00441E95" w:rsidRDefault="002173DB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7.2.</w:t>
            </w:r>
            <w:r w:rsidR="00BF141D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c</w:t>
            </w:r>
          </w:p>
        </w:tc>
        <w:tc>
          <w:tcPr>
            <w:tcW w:w="980" w:type="pct"/>
            <w:shd w:val="clear" w:color="auto" w:fill="auto"/>
          </w:tcPr>
          <w:p w14:paraId="2DE67893" w14:textId="77777777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Odabir modela provedbene strukture za FI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7DAC6AB4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A866A48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(C)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71A845C3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14:paraId="5F894279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1" w:type="pct"/>
            <w:vAlign w:val="center"/>
          </w:tcPr>
          <w:p w14:paraId="2FC806E2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vAlign w:val="center"/>
          </w:tcPr>
          <w:p w14:paraId="27BCC74C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C, I</w:t>
            </w:r>
          </w:p>
        </w:tc>
        <w:tc>
          <w:tcPr>
            <w:tcW w:w="282" w:type="pct"/>
            <w:vAlign w:val="center"/>
          </w:tcPr>
          <w:p w14:paraId="1036751F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408" w:type="pct"/>
            <w:vAlign w:val="center"/>
          </w:tcPr>
          <w:p w14:paraId="1437D6D1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91" w:type="pct"/>
            <w:vMerge/>
            <w:shd w:val="clear" w:color="auto" w:fill="auto"/>
          </w:tcPr>
          <w:p w14:paraId="3D38DE60" w14:textId="77777777" w:rsidR="00344050" w:rsidRPr="00441E95" w:rsidRDefault="003440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E26341" w:rsidRPr="00441E95" w14:paraId="4A27EE43" w14:textId="77777777" w:rsidTr="00F72064">
        <w:trPr>
          <w:jc w:val="center"/>
        </w:trPr>
        <w:tc>
          <w:tcPr>
            <w:tcW w:w="387" w:type="pct"/>
            <w:shd w:val="clear" w:color="auto" w:fill="auto"/>
            <w:vAlign w:val="center"/>
          </w:tcPr>
          <w:p w14:paraId="2F86EC63" w14:textId="4451B7B6" w:rsidR="00344050" w:rsidRPr="00441E95" w:rsidRDefault="002173DB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7.2.</w:t>
            </w:r>
            <w:r w:rsidR="00BF141D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d</w:t>
            </w:r>
          </w:p>
        </w:tc>
        <w:tc>
          <w:tcPr>
            <w:tcW w:w="980" w:type="pct"/>
            <w:shd w:val="clear" w:color="auto" w:fill="auto"/>
          </w:tcPr>
          <w:p w14:paraId="66274D9B" w14:textId="77777777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Uspostava provedbene strukture za FI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0CD923A1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13895AF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(C)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72D304E8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(C)</w:t>
            </w:r>
          </w:p>
        </w:tc>
        <w:tc>
          <w:tcPr>
            <w:tcW w:w="184" w:type="pct"/>
            <w:shd w:val="clear" w:color="auto" w:fill="auto"/>
            <w:vAlign w:val="center"/>
          </w:tcPr>
          <w:p w14:paraId="24702A2D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1" w:type="pct"/>
            <w:vAlign w:val="center"/>
          </w:tcPr>
          <w:p w14:paraId="7E0EC2F5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vAlign w:val="center"/>
          </w:tcPr>
          <w:p w14:paraId="175A1D34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82" w:type="pct"/>
            <w:vAlign w:val="center"/>
          </w:tcPr>
          <w:p w14:paraId="771F1274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408" w:type="pct"/>
            <w:vAlign w:val="center"/>
          </w:tcPr>
          <w:p w14:paraId="7E13DFAD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91" w:type="pct"/>
            <w:vMerge/>
            <w:shd w:val="clear" w:color="auto" w:fill="auto"/>
          </w:tcPr>
          <w:p w14:paraId="5B78F3A5" w14:textId="77777777" w:rsidR="00344050" w:rsidRPr="00441E95" w:rsidRDefault="003440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E26341" w:rsidRPr="00441E95" w14:paraId="6FB0CBB8" w14:textId="77777777" w:rsidTr="00F72064">
        <w:trPr>
          <w:jc w:val="center"/>
        </w:trPr>
        <w:tc>
          <w:tcPr>
            <w:tcW w:w="387" w:type="pct"/>
            <w:shd w:val="clear" w:color="auto" w:fill="auto"/>
            <w:vAlign w:val="center"/>
          </w:tcPr>
          <w:p w14:paraId="78EC5AB3" w14:textId="0E018ADA" w:rsidR="00344050" w:rsidRPr="00441E95" w:rsidRDefault="002173DB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7.2.</w:t>
            </w:r>
            <w:r w:rsidR="00BF141D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e</w:t>
            </w:r>
          </w:p>
        </w:tc>
        <w:tc>
          <w:tcPr>
            <w:tcW w:w="980" w:type="pct"/>
            <w:shd w:val="clear" w:color="auto" w:fill="auto"/>
          </w:tcPr>
          <w:p w14:paraId="1E60877B" w14:textId="77777777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Potpisivanje SoF-a prve razine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783A364C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C41FFC9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(C)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3AFEBDBA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C</w:t>
            </w:r>
          </w:p>
        </w:tc>
        <w:tc>
          <w:tcPr>
            <w:tcW w:w="184" w:type="pct"/>
            <w:shd w:val="clear" w:color="auto" w:fill="auto"/>
            <w:vAlign w:val="center"/>
          </w:tcPr>
          <w:p w14:paraId="59C15E36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1" w:type="pct"/>
            <w:vAlign w:val="center"/>
          </w:tcPr>
          <w:p w14:paraId="6A482F0E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vAlign w:val="center"/>
          </w:tcPr>
          <w:p w14:paraId="6E422C70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</w:t>
            </w:r>
          </w:p>
        </w:tc>
        <w:tc>
          <w:tcPr>
            <w:tcW w:w="282" w:type="pct"/>
            <w:vAlign w:val="center"/>
          </w:tcPr>
          <w:p w14:paraId="7BAFA44B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408" w:type="pct"/>
            <w:vAlign w:val="center"/>
          </w:tcPr>
          <w:p w14:paraId="1C3EC8C2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91" w:type="pct"/>
            <w:vMerge/>
            <w:shd w:val="clear" w:color="auto" w:fill="auto"/>
          </w:tcPr>
          <w:p w14:paraId="2FA88987" w14:textId="77777777" w:rsidR="00344050" w:rsidRPr="00441E95" w:rsidRDefault="003440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E26341" w:rsidRPr="00441E95" w14:paraId="025C2A5F" w14:textId="77777777" w:rsidTr="00F72064">
        <w:trPr>
          <w:jc w:val="center"/>
        </w:trPr>
        <w:tc>
          <w:tcPr>
            <w:tcW w:w="387" w:type="pct"/>
            <w:shd w:val="clear" w:color="auto" w:fill="auto"/>
            <w:vAlign w:val="center"/>
          </w:tcPr>
          <w:p w14:paraId="6C843D37" w14:textId="6C38767A" w:rsidR="00344050" w:rsidRPr="00441E95" w:rsidRDefault="002173DB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bookmarkStart w:id="31" w:name="_Hlk29989970"/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7.2.</w:t>
            </w:r>
            <w:r w:rsidR="00BF141D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f</w:t>
            </w:r>
          </w:p>
        </w:tc>
        <w:tc>
          <w:tcPr>
            <w:tcW w:w="980" w:type="pct"/>
            <w:shd w:val="clear" w:color="auto" w:fill="auto"/>
          </w:tcPr>
          <w:p w14:paraId="282D4C0F" w14:textId="4D2629BE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Izrada i usvajanje PoP-a </w:t>
            </w:r>
            <w:r w:rsidR="00564261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tijela strukture za provedbu FI-ja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, kada je primjenjivo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6CCBB6A2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R, A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E2A673A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 w14:paraId="1BC6F803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</w:t>
            </w:r>
          </w:p>
        </w:tc>
        <w:tc>
          <w:tcPr>
            <w:tcW w:w="184" w:type="pct"/>
            <w:shd w:val="clear" w:color="auto" w:fill="auto"/>
            <w:vAlign w:val="center"/>
          </w:tcPr>
          <w:p w14:paraId="3B2539B2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1" w:type="pct"/>
            <w:vAlign w:val="center"/>
          </w:tcPr>
          <w:p w14:paraId="1E233AC2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vAlign w:val="center"/>
          </w:tcPr>
          <w:p w14:paraId="4891D6D4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82" w:type="pct"/>
            <w:vAlign w:val="center"/>
          </w:tcPr>
          <w:p w14:paraId="1DEB5F41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408" w:type="pct"/>
            <w:vAlign w:val="center"/>
          </w:tcPr>
          <w:p w14:paraId="69B20B17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91" w:type="pct"/>
            <w:vMerge/>
            <w:shd w:val="clear" w:color="auto" w:fill="auto"/>
          </w:tcPr>
          <w:p w14:paraId="6E606052" w14:textId="77777777" w:rsidR="00344050" w:rsidRPr="00441E95" w:rsidRDefault="003440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bookmarkEnd w:id="31"/>
      <w:tr w:rsidR="00E26341" w:rsidRPr="00441E95" w14:paraId="5C3ADB8B" w14:textId="77777777" w:rsidTr="00F72064">
        <w:trPr>
          <w:jc w:val="center"/>
        </w:trPr>
        <w:tc>
          <w:tcPr>
            <w:tcW w:w="387" w:type="pct"/>
            <w:shd w:val="clear" w:color="auto" w:fill="auto"/>
            <w:vAlign w:val="center"/>
          </w:tcPr>
          <w:p w14:paraId="24D2264D" w14:textId="26A1A9ED" w:rsidR="00344050" w:rsidRPr="00441E95" w:rsidRDefault="002173DB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7.2.</w:t>
            </w:r>
            <w:r w:rsidR="00BF141D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g</w:t>
            </w:r>
          </w:p>
        </w:tc>
        <w:tc>
          <w:tcPr>
            <w:tcW w:w="980" w:type="pct"/>
            <w:shd w:val="clear" w:color="auto" w:fill="auto"/>
          </w:tcPr>
          <w:p w14:paraId="2D141CC3" w14:textId="06DEAB8F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Pokretanje FI</w:t>
            </w:r>
            <w:r w:rsidR="00D32C02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-ja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77A02593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A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55CE7635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 w14:paraId="6C99A831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</w:t>
            </w:r>
          </w:p>
        </w:tc>
        <w:tc>
          <w:tcPr>
            <w:tcW w:w="184" w:type="pct"/>
            <w:shd w:val="clear" w:color="auto" w:fill="auto"/>
            <w:vAlign w:val="center"/>
          </w:tcPr>
          <w:p w14:paraId="5DD650F1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lang w:val="hr-HR"/>
              </w:rPr>
            </w:pPr>
          </w:p>
        </w:tc>
        <w:tc>
          <w:tcPr>
            <w:tcW w:w="171" w:type="pct"/>
            <w:vAlign w:val="center"/>
          </w:tcPr>
          <w:p w14:paraId="01EC122F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</w:t>
            </w:r>
          </w:p>
        </w:tc>
        <w:tc>
          <w:tcPr>
            <w:tcW w:w="184" w:type="pct"/>
            <w:vAlign w:val="center"/>
          </w:tcPr>
          <w:p w14:paraId="58824660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</w:t>
            </w:r>
          </w:p>
        </w:tc>
        <w:tc>
          <w:tcPr>
            <w:tcW w:w="282" w:type="pct"/>
            <w:vAlign w:val="center"/>
          </w:tcPr>
          <w:p w14:paraId="18D2BEA6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408" w:type="pct"/>
            <w:vAlign w:val="center"/>
          </w:tcPr>
          <w:p w14:paraId="67E8B4C1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91" w:type="pct"/>
            <w:vMerge/>
            <w:shd w:val="clear" w:color="auto" w:fill="auto"/>
          </w:tcPr>
          <w:p w14:paraId="656B30C5" w14:textId="77777777" w:rsidR="00344050" w:rsidRPr="00441E95" w:rsidRDefault="003440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A0217E" w:rsidRPr="00441E95" w14:paraId="068D144A" w14:textId="77777777" w:rsidTr="00F72064">
        <w:trPr>
          <w:jc w:val="center"/>
        </w:trPr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59054580" w14:textId="77777777" w:rsidR="00A0217E" w:rsidRPr="00441E95" w:rsidRDefault="00A26C50" w:rsidP="00F72064">
            <w:pPr>
              <w:pStyle w:val="Arial105ptbefore"/>
              <w:spacing w:before="0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7.3.</w:t>
            </w:r>
          </w:p>
        </w:tc>
        <w:tc>
          <w:tcPr>
            <w:tcW w:w="2822" w:type="pct"/>
            <w:gridSpan w:val="9"/>
            <w:shd w:val="clear" w:color="auto" w:fill="D9D9D9" w:themeFill="background1" w:themeFillShade="D9"/>
          </w:tcPr>
          <w:p w14:paraId="3A482FD1" w14:textId="395FD7F5" w:rsidR="00A0217E" w:rsidRPr="00441E95" w:rsidRDefault="00A0217E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b/>
                <w:noProof w:val="0"/>
                <w:sz w:val="24"/>
                <w:lang w:val="hr-HR"/>
              </w:rPr>
            </w:pPr>
            <w:r w:rsidRPr="00441E95">
              <w:rPr>
                <w:rFonts w:ascii="Times New Roman" w:eastAsia="Arial" w:hAnsi="Times New Roman"/>
                <w:b/>
                <w:noProof w:val="0"/>
                <w:sz w:val="24"/>
                <w:szCs w:val="24"/>
                <w:lang w:val="hr-HR"/>
              </w:rPr>
              <w:t>Provedba FI</w:t>
            </w:r>
            <w:r w:rsidR="00D32C02" w:rsidRPr="00441E95">
              <w:rPr>
                <w:rFonts w:ascii="Times New Roman" w:eastAsia="Arial" w:hAnsi="Times New Roman"/>
                <w:b/>
                <w:noProof w:val="0"/>
                <w:sz w:val="24"/>
                <w:szCs w:val="24"/>
                <w:lang w:val="hr-HR"/>
              </w:rPr>
              <w:t>-ja</w:t>
            </w:r>
          </w:p>
        </w:tc>
        <w:tc>
          <w:tcPr>
            <w:tcW w:w="1791" w:type="pct"/>
            <w:vMerge w:val="restart"/>
            <w:shd w:val="clear" w:color="auto" w:fill="auto"/>
          </w:tcPr>
          <w:p w14:paraId="7E5F497A" w14:textId="3B8272E0" w:rsidR="00A0217E" w:rsidRPr="00441E95" w:rsidRDefault="00D57F05" w:rsidP="00EA6306">
            <w:pPr>
              <w:pStyle w:val="Arial105ptbefore"/>
              <w:numPr>
                <w:ilvl w:val="0"/>
                <w:numId w:val="5"/>
              </w:numPr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>
              <w:rPr>
                <w:rFonts w:ascii="Times New Roman" w:eastAsia="Calibri" w:hAnsi="Times New Roman"/>
                <w:noProof w:val="0"/>
                <w:sz w:val="24"/>
                <w:lang w:val="hr-HR"/>
              </w:rPr>
              <w:t>p</w:t>
            </w:r>
            <w:r w:rsidR="00A0217E" w:rsidRPr="00441E95">
              <w:rPr>
                <w:rFonts w:ascii="Times New Roman" w:eastAsia="Calibri" w:hAnsi="Times New Roman"/>
                <w:noProof w:val="0"/>
                <w:sz w:val="24"/>
                <w:lang w:val="hr-HR"/>
              </w:rPr>
              <w:t>otpisani SoF između UT</w:t>
            </w:r>
            <w:r w:rsidR="001C1A74" w:rsidRPr="00441E95">
              <w:rPr>
                <w:rFonts w:ascii="Times New Roman" w:eastAsia="Calibri" w:hAnsi="Times New Roman"/>
                <w:noProof w:val="0"/>
                <w:sz w:val="24"/>
                <w:lang w:val="hr-HR"/>
              </w:rPr>
              <w:t>-a</w:t>
            </w:r>
            <w:r w:rsidR="00A0217E" w:rsidRPr="00441E95">
              <w:rPr>
                <w:rFonts w:ascii="Times New Roman" w:eastAsia="Calibri" w:hAnsi="Times New Roman"/>
                <w:noProof w:val="0"/>
                <w:sz w:val="24"/>
                <w:lang w:val="hr-HR"/>
              </w:rPr>
              <w:t xml:space="preserve"> i TPFI</w:t>
            </w:r>
            <w:r w:rsidR="001C1A74" w:rsidRPr="00441E95">
              <w:rPr>
                <w:rFonts w:ascii="Times New Roman" w:eastAsia="Calibri" w:hAnsi="Times New Roman"/>
                <w:noProof w:val="0"/>
                <w:sz w:val="24"/>
                <w:lang w:val="hr-HR"/>
              </w:rPr>
              <w:t>-ja</w:t>
            </w:r>
            <w:r w:rsidR="00735467" w:rsidRPr="00441E95">
              <w:rPr>
                <w:rFonts w:ascii="Times New Roman" w:eastAsia="Calibri" w:hAnsi="Times New Roman"/>
                <w:noProof w:val="0"/>
                <w:sz w:val="24"/>
                <w:lang w:val="hr-HR"/>
              </w:rPr>
              <w:t xml:space="preserve"> </w:t>
            </w:r>
            <w:r w:rsidR="00A0217E" w:rsidRPr="00441E95">
              <w:rPr>
                <w:rFonts w:ascii="Times New Roman" w:eastAsia="Calibri" w:hAnsi="Times New Roman"/>
                <w:noProof w:val="0"/>
                <w:sz w:val="24"/>
                <w:lang w:val="hr-HR"/>
              </w:rPr>
              <w:t>i/ili, kada je primjenjivo, SoF-a između TPFI</w:t>
            </w:r>
            <w:r w:rsidR="001C1A74" w:rsidRPr="00441E95">
              <w:rPr>
                <w:rFonts w:ascii="Times New Roman" w:eastAsia="Calibri" w:hAnsi="Times New Roman"/>
                <w:noProof w:val="0"/>
                <w:sz w:val="24"/>
                <w:lang w:val="hr-HR"/>
              </w:rPr>
              <w:t>-ja</w:t>
            </w:r>
            <w:r w:rsidR="00A0217E" w:rsidRPr="00441E95">
              <w:rPr>
                <w:rFonts w:ascii="Times New Roman" w:eastAsia="Calibri" w:hAnsi="Times New Roman"/>
                <w:noProof w:val="0"/>
                <w:sz w:val="24"/>
                <w:lang w:val="hr-HR"/>
              </w:rPr>
              <w:t xml:space="preserve"> i FP-a</w:t>
            </w:r>
          </w:p>
          <w:p w14:paraId="2892C462" w14:textId="72E841FB" w:rsidR="00A0217E" w:rsidRPr="00441E95" w:rsidRDefault="00D57F05" w:rsidP="00EA6306">
            <w:pPr>
              <w:pStyle w:val="Arial105ptbefore"/>
              <w:numPr>
                <w:ilvl w:val="0"/>
                <w:numId w:val="5"/>
              </w:numPr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  <w:lastRenderedPageBreak/>
              <w:t>d</w:t>
            </w:r>
            <w:r w:rsidR="00A0217E" w:rsidRPr="00441E95"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  <w:t xml:space="preserve">onošenje </w:t>
            </w:r>
            <w:r w:rsidR="00A0217E" w:rsidRPr="00441E95">
              <w:rPr>
                <w:rFonts w:ascii="Times New Roman" w:hAnsi="Times New Roman"/>
                <w:noProof w:val="0"/>
                <w:color w:val="000000"/>
                <w:sz w:val="24"/>
                <w:szCs w:val="24"/>
                <w:lang w:val="hr-HR"/>
              </w:rPr>
              <w:t>Uput</w:t>
            </w:r>
            <w:r w:rsidR="00A0217E" w:rsidRPr="00441E95">
              <w:rPr>
                <w:rFonts w:ascii="Times New Roman" w:hAnsi="Times New Roman"/>
                <w:bCs w:val="0"/>
                <w:noProof w:val="0"/>
                <w:color w:val="000000"/>
                <w:sz w:val="24"/>
                <w:szCs w:val="24"/>
                <w:lang w:val="hr-HR"/>
              </w:rPr>
              <w:t>e UT-a</w:t>
            </w:r>
            <w:r w:rsidR="00A0217E" w:rsidRPr="00441E95">
              <w:rPr>
                <w:rFonts w:ascii="Times New Roman" w:hAnsi="Times New Roman"/>
                <w:noProof w:val="0"/>
                <w:color w:val="000000"/>
                <w:sz w:val="24"/>
                <w:szCs w:val="24"/>
                <w:lang w:val="hr-HR"/>
              </w:rPr>
              <w:t xml:space="preserve"> o prihvatljivosti izdataka koji se financiraju </w:t>
            </w:r>
            <w:r w:rsidR="008F5432" w:rsidRPr="00441E95">
              <w:rPr>
                <w:rFonts w:ascii="Times New Roman" w:hAnsi="Times New Roman"/>
                <w:noProof w:val="0"/>
                <w:color w:val="000000"/>
                <w:sz w:val="24"/>
                <w:szCs w:val="24"/>
                <w:lang w:val="hr-HR"/>
              </w:rPr>
              <w:t>FI-jevima</w:t>
            </w:r>
            <w:r w:rsidR="00A0217E" w:rsidRPr="00441E95">
              <w:rPr>
                <w:rFonts w:ascii="Times New Roman" w:hAnsi="Times New Roman"/>
                <w:noProof w:val="0"/>
                <w:color w:val="000000"/>
                <w:sz w:val="24"/>
                <w:szCs w:val="24"/>
                <w:lang w:val="hr-HR"/>
              </w:rPr>
              <w:t xml:space="preserve"> u okviru </w:t>
            </w:r>
            <w:r w:rsidR="00A0217E" w:rsidRPr="00441E95">
              <w:rPr>
                <w:rFonts w:ascii="Times New Roman" w:hAnsi="Times New Roman"/>
                <w:bCs w:val="0"/>
                <w:noProof w:val="0"/>
                <w:color w:val="000000"/>
                <w:sz w:val="24"/>
                <w:szCs w:val="24"/>
                <w:lang w:val="hr-HR"/>
              </w:rPr>
              <w:t>OPKK</w:t>
            </w:r>
            <w:r w:rsidR="00A0217E" w:rsidRPr="00441E95"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  <w:t xml:space="preserve"> </w:t>
            </w:r>
          </w:p>
          <w:p w14:paraId="2184AF35" w14:textId="533822B5" w:rsidR="00A0217E" w:rsidRPr="00441E95" w:rsidRDefault="00A0217E" w:rsidP="00EA6306">
            <w:pPr>
              <w:pStyle w:val="Arial105ptbefore"/>
              <w:numPr>
                <w:ilvl w:val="0"/>
                <w:numId w:val="5"/>
              </w:numPr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  <w:t xml:space="preserve">javna objava otvorenog postupka dostave prijava </w:t>
            </w:r>
            <w:r w:rsidR="00D832A6" w:rsidRPr="00441E95"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  <w:t>KP-a</w:t>
            </w:r>
            <w:r w:rsidRPr="00441E95"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  <w:t xml:space="preserve"> za financiranje iz FI</w:t>
            </w:r>
            <w:r w:rsidR="001C1A74" w:rsidRPr="00441E95"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  <w:t>-ja</w:t>
            </w:r>
          </w:p>
          <w:p w14:paraId="7A42424B" w14:textId="2F0CBD07" w:rsidR="00A0217E" w:rsidRPr="00441E95" w:rsidRDefault="00A0217E" w:rsidP="00EA6306">
            <w:pPr>
              <w:pStyle w:val="Arial105ptbefore"/>
              <w:numPr>
                <w:ilvl w:val="0"/>
                <w:numId w:val="5"/>
              </w:numPr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  <w:t>dokumentirani dokaz o zaprimanju, evidentiranju, obradi, i pohranjivanju prijava za financiranje iz FI</w:t>
            </w:r>
            <w:r w:rsidR="001C1A74" w:rsidRPr="00441E95"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  <w:t>-ja</w:t>
            </w:r>
          </w:p>
          <w:p w14:paraId="5AF6205F" w14:textId="77777777" w:rsidR="00A0217E" w:rsidRPr="00441E95" w:rsidRDefault="00A0217E" w:rsidP="00EA6306">
            <w:pPr>
              <w:pStyle w:val="Arial105ptbefore"/>
              <w:numPr>
                <w:ilvl w:val="0"/>
                <w:numId w:val="5"/>
              </w:numPr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  <w:t>dokumentirani dokaz o zaprimanju, evidentiranju, obradi, i pohranjivanju prigovora na odbijene prijave</w:t>
            </w:r>
          </w:p>
          <w:p w14:paraId="2F44B05C" w14:textId="6D8BE140" w:rsidR="00A0217E" w:rsidRPr="00441E95" w:rsidRDefault="00A0217E" w:rsidP="00EA6306">
            <w:pPr>
              <w:pStyle w:val="Arial105ptbefore"/>
              <w:numPr>
                <w:ilvl w:val="0"/>
                <w:numId w:val="5"/>
              </w:numPr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  <w:t>potpisani ugovor o pružanju financijske potpore iz FI</w:t>
            </w:r>
            <w:r w:rsidR="001C1A74" w:rsidRPr="00441E95"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  <w:t>-ja</w:t>
            </w:r>
          </w:p>
          <w:p w14:paraId="792E76B6" w14:textId="2B986295" w:rsidR="00A0217E" w:rsidRPr="00441E95" w:rsidRDefault="00A0217E" w:rsidP="00EA6306">
            <w:pPr>
              <w:pStyle w:val="Arial105ptbefore"/>
              <w:numPr>
                <w:ilvl w:val="0"/>
                <w:numId w:val="5"/>
              </w:numPr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  <w:t>objavljen popis ulaganja koja su dobila potporu iz FI</w:t>
            </w:r>
            <w:r w:rsidR="001C1A74" w:rsidRPr="00441E95"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  <w:t>-ja</w:t>
            </w:r>
          </w:p>
        </w:tc>
      </w:tr>
      <w:tr w:rsidR="00E26341" w:rsidRPr="00441E95" w14:paraId="2A6EC3BB" w14:textId="77777777" w:rsidTr="00F72064">
        <w:trPr>
          <w:jc w:val="center"/>
        </w:trPr>
        <w:tc>
          <w:tcPr>
            <w:tcW w:w="387" w:type="pct"/>
            <w:shd w:val="clear" w:color="auto" w:fill="auto"/>
            <w:vAlign w:val="center"/>
          </w:tcPr>
          <w:p w14:paraId="6D500B36" w14:textId="77777777" w:rsidR="00344050" w:rsidRPr="00441E95" w:rsidRDefault="00A26C50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7.3.a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32CAF687" w14:textId="6C0E02EB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Uspostava provedbene strukture FI</w:t>
            </w:r>
            <w:r w:rsidR="00D32C02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-ja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na razini FP-a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2F605FB4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1F443AE2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 w14:paraId="1793B650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14:paraId="18C5D61C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</w:t>
            </w:r>
          </w:p>
        </w:tc>
        <w:tc>
          <w:tcPr>
            <w:tcW w:w="171" w:type="pct"/>
            <w:vAlign w:val="center"/>
          </w:tcPr>
          <w:p w14:paraId="78B3A8BD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vAlign w:val="center"/>
          </w:tcPr>
          <w:p w14:paraId="1F5D602F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</w:t>
            </w:r>
          </w:p>
        </w:tc>
        <w:tc>
          <w:tcPr>
            <w:tcW w:w="282" w:type="pct"/>
            <w:vAlign w:val="center"/>
          </w:tcPr>
          <w:p w14:paraId="5C3FB8EC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408" w:type="pct"/>
            <w:vAlign w:val="center"/>
          </w:tcPr>
          <w:p w14:paraId="13A62B60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91" w:type="pct"/>
            <w:vMerge/>
            <w:shd w:val="clear" w:color="auto" w:fill="auto"/>
          </w:tcPr>
          <w:p w14:paraId="68DABC18" w14:textId="77777777" w:rsidR="00344050" w:rsidRPr="00441E95" w:rsidRDefault="003440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A26C50" w:rsidRPr="00441E95" w14:paraId="2F6BC615" w14:textId="77777777" w:rsidTr="00F72064">
        <w:trPr>
          <w:jc w:val="center"/>
        </w:trPr>
        <w:tc>
          <w:tcPr>
            <w:tcW w:w="387" w:type="pct"/>
            <w:shd w:val="clear" w:color="auto" w:fill="auto"/>
            <w:vAlign w:val="center"/>
          </w:tcPr>
          <w:p w14:paraId="76579CB2" w14:textId="77777777" w:rsidR="00A26C50" w:rsidRPr="00441E95" w:rsidDel="00A26C50" w:rsidRDefault="00A26C50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lastRenderedPageBreak/>
              <w:t>7.3.b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1A23489C" w14:textId="77777777" w:rsidR="00A26C50" w:rsidRPr="00441E95" w:rsidRDefault="004451B6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Uputa UT-a u pogledu prihvatljivosti izdataka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56A54A88" w14:textId="77777777" w:rsidR="00A26C50" w:rsidRPr="00441E95" w:rsidRDefault="00A26C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1E2936A6" w14:textId="77777777" w:rsidR="00A26C50" w:rsidRPr="00441E95" w:rsidRDefault="00A26C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 w14:paraId="2E223FB8" w14:textId="77777777" w:rsidR="00A26C50" w:rsidRPr="00441E95" w:rsidRDefault="00A26C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14:paraId="72F33F45" w14:textId="77777777" w:rsidR="00A26C50" w:rsidRPr="00441E95" w:rsidRDefault="00A26C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1" w:type="pct"/>
            <w:vAlign w:val="center"/>
          </w:tcPr>
          <w:p w14:paraId="78CF3A91" w14:textId="77777777" w:rsidR="00A26C50" w:rsidRPr="00441E95" w:rsidRDefault="00A26C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vAlign w:val="center"/>
          </w:tcPr>
          <w:p w14:paraId="4106BA4C" w14:textId="77777777" w:rsidR="00A26C50" w:rsidRPr="00441E95" w:rsidRDefault="00A26C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82" w:type="pct"/>
            <w:vAlign w:val="center"/>
          </w:tcPr>
          <w:p w14:paraId="3A25C58F" w14:textId="77777777" w:rsidR="00A26C50" w:rsidRPr="00441E95" w:rsidRDefault="00A26C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408" w:type="pct"/>
            <w:vAlign w:val="center"/>
          </w:tcPr>
          <w:p w14:paraId="5618D185" w14:textId="77777777" w:rsidR="00A26C50" w:rsidRPr="00441E95" w:rsidRDefault="00A26C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91" w:type="pct"/>
            <w:vMerge/>
            <w:shd w:val="clear" w:color="auto" w:fill="auto"/>
          </w:tcPr>
          <w:p w14:paraId="112ABB9A" w14:textId="77777777" w:rsidR="00A26C50" w:rsidRPr="00441E95" w:rsidRDefault="00A26C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E26341" w:rsidRPr="00441E95" w14:paraId="094EE516" w14:textId="77777777" w:rsidTr="00F72064">
        <w:trPr>
          <w:jc w:val="center"/>
        </w:trPr>
        <w:tc>
          <w:tcPr>
            <w:tcW w:w="387" w:type="pct"/>
            <w:shd w:val="clear" w:color="auto" w:fill="auto"/>
            <w:vAlign w:val="center"/>
          </w:tcPr>
          <w:p w14:paraId="549AE3E0" w14:textId="77777777" w:rsidR="00E26341" w:rsidRPr="00441E95" w:rsidDel="0099335F" w:rsidRDefault="00E26341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7.3.c</w:t>
            </w:r>
          </w:p>
        </w:tc>
        <w:tc>
          <w:tcPr>
            <w:tcW w:w="980" w:type="pct"/>
            <w:shd w:val="clear" w:color="auto" w:fill="auto"/>
          </w:tcPr>
          <w:p w14:paraId="5524F6D1" w14:textId="025095F3" w:rsidR="00E26341" w:rsidRPr="00441E95" w:rsidRDefault="00E26341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Pokretanje postupka odabira KP</w:t>
            </w:r>
            <w:r w:rsidR="00D32C02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-a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koji će se financirati iz FI</w:t>
            </w:r>
            <w:r w:rsidR="00D32C02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-ja</w:t>
            </w:r>
          </w:p>
        </w:tc>
        <w:tc>
          <w:tcPr>
            <w:tcW w:w="212" w:type="pct"/>
            <w:shd w:val="clear" w:color="auto" w:fill="FFFFFF" w:themeFill="background1"/>
            <w:vAlign w:val="center"/>
          </w:tcPr>
          <w:p w14:paraId="061DA617" w14:textId="77777777" w:rsidR="00E26341" w:rsidRPr="00441E95" w:rsidRDefault="00E26341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9" w:type="pct"/>
            <w:shd w:val="clear" w:color="auto" w:fill="FFFFFF" w:themeFill="background1"/>
            <w:vAlign w:val="center"/>
          </w:tcPr>
          <w:p w14:paraId="3A7984FE" w14:textId="77777777" w:rsidR="00E26341" w:rsidRPr="00441E95" w:rsidRDefault="00E26341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12" w:type="pct"/>
            <w:shd w:val="clear" w:color="auto" w:fill="FFFFFF" w:themeFill="background1"/>
            <w:vAlign w:val="center"/>
          </w:tcPr>
          <w:p w14:paraId="62EFC66F" w14:textId="77777777" w:rsidR="00E26341" w:rsidRPr="00441E95" w:rsidRDefault="00E26341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C/A</w:t>
            </w:r>
          </w:p>
        </w:tc>
        <w:tc>
          <w:tcPr>
            <w:tcW w:w="184" w:type="pct"/>
            <w:shd w:val="clear" w:color="auto" w:fill="FFFFFF" w:themeFill="background1"/>
            <w:vAlign w:val="center"/>
          </w:tcPr>
          <w:p w14:paraId="239C7913" w14:textId="77777777" w:rsidR="00E26341" w:rsidRPr="00441E95" w:rsidRDefault="00E26341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</w:t>
            </w:r>
          </w:p>
        </w:tc>
        <w:tc>
          <w:tcPr>
            <w:tcW w:w="171" w:type="pct"/>
            <w:shd w:val="clear" w:color="auto" w:fill="FFFFFF" w:themeFill="background1"/>
            <w:vAlign w:val="center"/>
          </w:tcPr>
          <w:p w14:paraId="44DDA532" w14:textId="77777777" w:rsidR="00E26341" w:rsidRPr="00441E95" w:rsidRDefault="00E26341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shd w:val="clear" w:color="auto" w:fill="FFFFFF" w:themeFill="background1"/>
            <w:vAlign w:val="center"/>
          </w:tcPr>
          <w:p w14:paraId="06173A19" w14:textId="77777777" w:rsidR="00E26341" w:rsidRPr="00441E95" w:rsidRDefault="00E26341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82" w:type="pct"/>
            <w:shd w:val="clear" w:color="auto" w:fill="FFFFFF" w:themeFill="background1"/>
            <w:vAlign w:val="center"/>
          </w:tcPr>
          <w:p w14:paraId="441C76C5" w14:textId="77777777" w:rsidR="00E26341" w:rsidRPr="00441E95" w:rsidRDefault="00E26341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408" w:type="pct"/>
            <w:shd w:val="clear" w:color="auto" w:fill="FFFFFF" w:themeFill="background1"/>
            <w:vAlign w:val="center"/>
          </w:tcPr>
          <w:p w14:paraId="13054B6C" w14:textId="77777777" w:rsidR="00E26341" w:rsidRPr="00441E95" w:rsidRDefault="00E26341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91" w:type="pct"/>
            <w:vMerge/>
            <w:shd w:val="clear" w:color="auto" w:fill="auto"/>
          </w:tcPr>
          <w:p w14:paraId="4D2B1845" w14:textId="77777777" w:rsidR="00E26341" w:rsidRPr="00441E95" w:rsidRDefault="00E26341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E26341" w:rsidRPr="00441E95" w14:paraId="31B6EA2B" w14:textId="77777777" w:rsidTr="00F72064">
        <w:trPr>
          <w:jc w:val="center"/>
        </w:trPr>
        <w:tc>
          <w:tcPr>
            <w:tcW w:w="387" w:type="pct"/>
            <w:shd w:val="clear" w:color="auto" w:fill="auto"/>
            <w:vAlign w:val="center"/>
          </w:tcPr>
          <w:p w14:paraId="32B7448D" w14:textId="77777777" w:rsidR="00344050" w:rsidRPr="00441E95" w:rsidRDefault="0099335F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7.3.d</w:t>
            </w:r>
          </w:p>
        </w:tc>
        <w:tc>
          <w:tcPr>
            <w:tcW w:w="980" w:type="pct"/>
            <w:tcBorders>
              <w:bottom w:val="single" w:sz="4" w:space="0" w:color="auto"/>
            </w:tcBorders>
            <w:shd w:val="clear" w:color="auto" w:fill="auto"/>
          </w:tcPr>
          <w:p w14:paraId="3BCD9A9B" w14:textId="77777777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Zaprimanje, evidentiranje, obrada, i pohrana prijava</w:t>
            </w:r>
            <w:r w:rsidR="00A05E38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te prigovora na odbijene prijave</w:t>
            </w:r>
          </w:p>
        </w:tc>
        <w:tc>
          <w:tcPr>
            <w:tcW w:w="2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B10DCA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6AE448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C49F8F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C/A</w:t>
            </w:r>
          </w:p>
        </w:tc>
        <w:tc>
          <w:tcPr>
            <w:tcW w:w="1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29FF1A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</w:t>
            </w:r>
          </w:p>
        </w:tc>
        <w:tc>
          <w:tcPr>
            <w:tcW w:w="171" w:type="pct"/>
            <w:tcBorders>
              <w:bottom w:val="single" w:sz="4" w:space="0" w:color="auto"/>
            </w:tcBorders>
            <w:vAlign w:val="center"/>
          </w:tcPr>
          <w:p w14:paraId="1F2C4D3B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tcBorders>
              <w:bottom w:val="single" w:sz="4" w:space="0" w:color="auto"/>
            </w:tcBorders>
            <w:vAlign w:val="center"/>
          </w:tcPr>
          <w:p w14:paraId="019BA089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82" w:type="pct"/>
            <w:tcBorders>
              <w:bottom w:val="single" w:sz="4" w:space="0" w:color="auto"/>
            </w:tcBorders>
            <w:vAlign w:val="center"/>
          </w:tcPr>
          <w:p w14:paraId="4A6A61EA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14:paraId="6E3B260C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91" w:type="pct"/>
            <w:vMerge/>
            <w:shd w:val="clear" w:color="auto" w:fill="auto"/>
          </w:tcPr>
          <w:p w14:paraId="6E2F9012" w14:textId="77777777" w:rsidR="00344050" w:rsidRPr="00441E95" w:rsidRDefault="003440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E26341" w:rsidRPr="00441E95" w14:paraId="6FB7F906" w14:textId="77777777" w:rsidTr="00F72064">
        <w:trPr>
          <w:jc w:val="center"/>
        </w:trPr>
        <w:tc>
          <w:tcPr>
            <w:tcW w:w="387" w:type="pct"/>
            <w:shd w:val="clear" w:color="auto" w:fill="auto"/>
            <w:vAlign w:val="center"/>
          </w:tcPr>
          <w:p w14:paraId="51422F30" w14:textId="77777777" w:rsidR="00344050" w:rsidRPr="00441E95" w:rsidRDefault="0099335F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7.3.e</w:t>
            </w:r>
          </w:p>
        </w:tc>
        <w:tc>
          <w:tcPr>
            <w:tcW w:w="980" w:type="pct"/>
            <w:tcBorders>
              <w:top w:val="single" w:sz="4" w:space="0" w:color="auto"/>
            </w:tcBorders>
            <w:shd w:val="clear" w:color="auto" w:fill="auto"/>
          </w:tcPr>
          <w:p w14:paraId="73192DC9" w14:textId="20E00A73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Potpisivanje ugovora o pružanju financijske potpore iz FI</w:t>
            </w:r>
            <w:r w:rsidR="001C1A74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-ja</w:t>
            </w:r>
          </w:p>
        </w:tc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FE60B2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D05D0F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88F04D5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C/A</w:t>
            </w:r>
          </w:p>
        </w:tc>
        <w:tc>
          <w:tcPr>
            <w:tcW w:w="18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B926F0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</w:t>
            </w:r>
          </w:p>
        </w:tc>
        <w:tc>
          <w:tcPr>
            <w:tcW w:w="171" w:type="pct"/>
            <w:tcBorders>
              <w:top w:val="single" w:sz="4" w:space="0" w:color="auto"/>
            </w:tcBorders>
            <w:vAlign w:val="center"/>
          </w:tcPr>
          <w:p w14:paraId="07178A93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tcBorders>
              <w:top w:val="single" w:sz="4" w:space="0" w:color="auto"/>
            </w:tcBorders>
            <w:vAlign w:val="center"/>
          </w:tcPr>
          <w:p w14:paraId="2D2BE486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07EAA839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408" w:type="pct"/>
            <w:tcBorders>
              <w:top w:val="single" w:sz="4" w:space="0" w:color="auto"/>
            </w:tcBorders>
            <w:vAlign w:val="center"/>
          </w:tcPr>
          <w:p w14:paraId="50444762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91" w:type="pct"/>
            <w:vMerge/>
            <w:shd w:val="clear" w:color="auto" w:fill="auto"/>
          </w:tcPr>
          <w:p w14:paraId="667348AD" w14:textId="77777777" w:rsidR="00344050" w:rsidRPr="00441E95" w:rsidRDefault="003440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E26341" w:rsidRPr="00441E95" w14:paraId="212CC20B" w14:textId="77777777" w:rsidTr="00F72064">
        <w:trPr>
          <w:jc w:val="center"/>
        </w:trPr>
        <w:tc>
          <w:tcPr>
            <w:tcW w:w="387" w:type="pct"/>
            <w:shd w:val="clear" w:color="auto" w:fill="auto"/>
            <w:vAlign w:val="center"/>
          </w:tcPr>
          <w:p w14:paraId="7FD955C2" w14:textId="77777777" w:rsidR="00344050" w:rsidRPr="00441E95" w:rsidRDefault="0099335F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7.3.f</w:t>
            </w:r>
          </w:p>
        </w:tc>
        <w:tc>
          <w:tcPr>
            <w:tcW w:w="980" w:type="pct"/>
            <w:shd w:val="clear" w:color="auto" w:fill="auto"/>
          </w:tcPr>
          <w:p w14:paraId="4FBBF9F9" w14:textId="40C50EDC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Objava popisa ulaganja koja su dobila potporu iz FI</w:t>
            </w:r>
            <w:r w:rsidR="001C1A74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-ja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7971A117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173DF52E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 w14:paraId="3EF3A912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C/A</w:t>
            </w:r>
          </w:p>
        </w:tc>
        <w:tc>
          <w:tcPr>
            <w:tcW w:w="184" w:type="pct"/>
            <w:shd w:val="clear" w:color="auto" w:fill="auto"/>
            <w:vAlign w:val="center"/>
          </w:tcPr>
          <w:p w14:paraId="24A9FCB2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</w:t>
            </w:r>
          </w:p>
        </w:tc>
        <w:tc>
          <w:tcPr>
            <w:tcW w:w="171" w:type="pct"/>
            <w:vAlign w:val="center"/>
          </w:tcPr>
          <w:p w14:paraId="284FF462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vAlign w:val="center"/>
          </w:tcPr>
          <w:p w14:paraId="1E5F2487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</w:t>
            </w:r>
          </w:p>
        </w:tc>
        <w:tc>
          <w:tcPr>
            <w:tcW w:w="282" w:type="pct"/>
            <w:vAlign w:val="center"/>
          </w:tcPr>
          <w:p w14:paraId="4309091D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408" w:type="pct"/>
            <w:vAlign w:val="center"/>
          </w:tcPr>
          <w:p w14:paraId="4CAF6E9B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91" w:type="pct"/>
            <w:vMerge/>
            <w:shd w:val="clear" w:color="auto" w:fill="auto"/>
          </w:tcPr>
          <w:p w14:paraId="01331EAF" w14:textId="77777777" w:rsidR="00344050" w:rsidRPr="00441E95" w:rsidRDefault="003440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25105F" w:rsidRPr="00441E95" w14:paraId="706DDD04" w14:textId="77777777" w:rsidTr="00F72064">
        <w:trPr>
          <w:jc w:val="center"/>
        </w:trPr>
        <w:tc>
          <w:tcPr>
            <w:tcW w:w="387" w:type="pct"/>
            <w:shd w:val="clear" w:color="auto" w:fill="auto"/>
            <w:vAlign w:val="center"/>
          </w:tcPr>
          <w:p w14:paraId="4D1CE8C1" w14:textId="77777777" w:rsidR="0025105F" w:rsidRPr="00441E95" w:rsidDel="0099335F" w:rsidRDefault="0025105F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7.3.g</w:t>
            </w:r>
          </w:p>
        </w:tc>
        <w:tc>
          <w:tcPr>
            <w:tcW w:w="980" w:type="pct"/>
            <w:shd w:val="clear" w:color="auto" w:fill="auto"/>
          </w:tcPr>
          <w:p w14:paraId="691A0166" w14:textId="77777777" w:rsidR="0025105F" w:rsidRPr="00441E95" w:rsidRDefault="0025105F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Isplata sredstava i računovodstvo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25B4A0F0" w14:textId="77777777" w:rsidR="0025105F" w:rsidRPr="00441E95" w:rsidRDefault="0025105F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1D8EECD5" w14:textId="77777777" w:rsidR="0025105F" w:rsidRPr="00441E95" w:rsidRDefault="0025105F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 w14:paraId="0F207276" w14:textId="77777777" w:rsidR="0025105F" w:rsidRPr="00441E95" w:rsidRDefault="0025105F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14:paraId="6AD3CC7E" w14:textId="77777777" w:rsidR="0025105F" w:rsidRPr="00441E95" w:rsidRDefault="0025105F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1" w:type="pct"/>
            <w:vAlign w:val="center"/>
          </w:tcPr>
          <w:p w14:paraId="5A58DD61" w14:textId="77777777" w:rsidR="0025105F" w:rsidRPr="00441E95" w:rsidRDefault="0025105F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vAlign w:val="center"/>
          </w:tcPr>
          <w:p w14:paraId="1E31C9C0" w14:textId="77777777" w:rsidR="0025105F" w:rsidRPr="00441E95" w:rsidRDefault="0025105F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82" w:type="pct"/>
            <w:vAlign w:val="center"/>
          </w:tcPr>
          <w:p w14:paraId="771599B9" w14:textId="77777777" w:rsidR="0025105F" w:rsidRPr="00441E95" w:rsidRDefault="0025105F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408" w:type="pct"/>
            <w:vAlign w:val="center"/>
          </w:tcPr>
          <w:p w14:paraId="12B73948" w14:textId="77777777" w:rsidR="0025105F" w:rsidRPr="00441E95" w:rsidRDefault="0025105F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91" w:type="pct"/>
            <w:shd w:val="clear" w:color="auto" w:fill="auto"/>
          </w:tcPr>
          <w:p w14:paraId="1A1D485D" w14:textId="77777777" w:rsidR="0025105F" w:rsidRPr="00441E95" w:rsidRDefault="0025105F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E26341" w:rsidRPr="00441E95" w14:paraId="06E737FE" w14:textId="77777777" w:rsidTr="00F72064">
        <w:trPr>
          <w:jc w:val="center"/>
        </w:trPr>
        <w:tc>
          <w:tcPr>
            <w:tcW w:w="387" w:type="pct"/>
            <w:shd w:val="clear" w:color="auto" w:fill="auto"/>
            <w:vAlign w:val="center"/>
          </w:tcPr>
          <w:p w14:paraId="41C4DC5D" w14:textId="218ABE7F" w:rsidR="00344050" w:rsidRPr="00441E95" w:rsidRDefault="00756655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7.3.h</w:t>
            </w:r>
          </w:p>
        </w:tc>
        <w:tc>
          <w:tcPr>
            <w:tcW w:w="980" w:type="pct"/>
            <w:shd w:val="clear" w:color="auto" w:fill="auto"/>
          </w:tcPr>
          <w:p w14:paraId="3846A3A4" w14:textId="4E73FCE6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Plaćanje prve tranše prema TPFI</w:t>
            </w:r>
            <w:r w:rsidR="001C1A74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-ju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/FP</w:t>
            </w:r>
            <w:r w:rsidR="001C1A74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-u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0900ABD7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R/A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79CD01BD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(R)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48C89710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R/C</w:t>
            </w:r>
          </w:p>
        </w:tc>
        <w:tc>
          <w:tcPr>
            <w:tcW w:w="184" w:type="pct"/>
            <w:shd w:val="clear" w:color="auto" w:fill="auto"/>
            <w:vAlign w:val="center"/>
          </w:tcPr>
          <w:p w14:paraId="52580DC3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1" w:type="pct"/>
            <w:vAlign w:val="center"/>
          </w:tcPr>
          <w:p w14:paraId="1714E096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</w:t>
            </w:r>
          </w:p>
        </w:tc>
        <w:tc>
          <w:tcPr>
            <w:tcW w:w="184" w:type="pct"/>
            <w:vAlign w:val="center"/>
          </w:tcPr>
          <w:p w14:paraId="16F89FCE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</w:t>
            </w:r>
          </w:p>
        </w:tc>
        <w:tc>
          <w:tcPr>
            <w:tcW w:w="282" w:type="pct"/>
            <w:vAlign w:val="center"/>
          </w:tcPr>
          <w:p w14:paraId="5B1755FC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408" w:type="pct"/>
            <w:vAlign w:val="center"/>
          </w:tcPr>
          <w:p w14:paraId="294A8E92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91" w:type="pct"/>
            <w:vMerge w:val="restart"/>
            <w:shd w:val="clear" w:color="auto" w:fill="auto"/>
          </w:tcPr>
          <w:p w14:paraId="2C4C51B4" w14:textId="77777777" w:rsidR="00344050" w:rsidRPr="00441E95" w:rsidRDefault="003440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E26341" w:rsidRPr="00441E95" w14:paraId="1CC59904" w14:textId="77777777" w:rsidTr="00F72064">
        <w:trPr>
          <w:jc w:val="center"/>
        </w:trPr>
        <w:tc>
          <w:tcPr>
            <w:tcW w:w="387" w:type="pct"/>
            <w:shd w:val="clear" w:color="auto" w:fill="auto"/>
            <w:vAlign w:val="center"/>
          </w:tcPr>
          <w:p w14:paraId="6F5BB754" w14:textId="3A1AB4BE" w:rsidR="00344050" w:rsidRPr="00441E95" w:rsidRDefault="00756655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lastRenderedPageBreak/>
              <w:t>7.3.i</w:t>
            </w:r>
          </w:p>
        </w:tc>
        <w:tc>
          <w:tcPr>
            <w:tcW w:w="980" w:type="pct"/>
            <w:tcBorders>
              <w:bottom w:val="single" w:sz="4" w:space="0" w:color="auto"/>
            </w:tcBorders>
            <w:shd w:val="clear" w:color="auto" w:fill="auto"/>
          </w:tcPr>
          <w:p w14:paraId="2C950A3A" w14:textId="6019D20E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Plaćanje idućih tranši prema TPFI</w:t>
            </w:r>
            <w:r w:rsidR="001C1A74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-ju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/FP</w:t>
            </w:r>
            <w:r w:rsidR="001C1A74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-u</w:t>
            </w:r>
          </w:p>
        </w:tc>
        <w:tc>
          <w:tcPr>
            <w:tcW w:w="2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B61E85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R/A</w:t>
            </w:r>
          </w:p>
        </w:tc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1BDD126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(R)</w:t>
            </w:r>
          </w:p>
        </w:tc>
        <w:tc>
          <w:tcPr>
            <w:tcW w:w="21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0D69F6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R/C</w:t>
            </w:r>
          </w:p>
        </w:tc>
        <w:tc>
          <w:tcPr>
            <w:tcW w:w="18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A6BCF6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(C)</w:t>
            </w:r>
          </w:p>
        </w:tc>
        <w:tc>
          <w:tcPr>
            <w:tcW w:w="171" w:type="pct"/>
            <w:tcBorders>
              <w:bottom w:val="single" w:sz="4" w:space="0" w:color="auto"/>
            </w:tcBorders>
            <w:vAlign w:val="center"/>
          </w:tcPr>
          <w:p w14:paraId="7AAC04DA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</w:t>
            </w:r>
          </w:p>
        </w:tc>
        <w:tc>
          <w:tcPr>
            <w:tcW w:w="184" w:type="pct"/>
            <w:tcBorders>
              <w:bottom w:val="single" w:sz="4" w:space="0" w:color="auto"/>
            </w:tcBorders>
            <w:vAlign w:val="center"/>
          </w:tcPr>
          <w:p w14:paraId="34431715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</w:t>
            </w:r>
          </w:p>
        </w:tc>
        <w:tc>
          <w:tcPr>
            <w:tcW w:w="282" w:type="pct"/>
            <w:tcBorders>
              <w:bottom w:val="single" w:sz="4" w:space="0" w:color="auto"/>
            </w:tcBorders>
            <w:vAlign w:val="center"/>
          </w:tcPr>
          <w:p w14:paraId="0CD94C16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408" w:type="pct"/>
            <w:tcBorders>
              <w:bottom w:val="single" w:sz="4" w:space="0" w:color="auto"/>
            </w:tcBorders>
            <w:vAlign w:val="center"/>
          </w:tcPr>
          <w:p w14:paraId="0748981A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91" w:type="pct"/>
            <w:vMerge/>
            <w:shd w:val="clear" w:color="auto" w:fill="auto"/>
          </w:tcPr>
          <w:p w14:paraId="06FFC217" w14:textId="77777777" w:rsidR="00344050" w:rsidRPr="00441E95" w:rsidRDefault="003440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E26341" w:rsidRPr="00441E95" w14:paraId="425C7C77" w14:textId="77777777" w:rsidTr="00F72064">
        <w:trPr>
          <w:jc w:val="center"/>
        </w:trPr>
        <w:tc>
          <w:tcPr>
            <w:tcW w:w="387" w:type="pc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8BEBD1" w14:textId="77777777" w:rsidR="00344050" w:rsidRPr="00441E95" w:rsidRDefault="00467F1A" w:rsidP="00F72064">
            <w:pPr>
              <w:pStyle w:val="Arial105ptbefore"/>
              <w:spacing w:before="0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7.4.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E2A811" w14:textId="77777777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Ovjeravanje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56404F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R, A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EDF004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1D90B6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4565FE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668CE1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83751C7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49286A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R, A</w:t>
            </w:r>
          </w:p>
        </w:tc>
        <w:tc>
          <w:tcPr>
            <w:tcW w:w="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A064B6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91" w:type="pct"/>
            <w:vMerge/>
            <w:tcBorders>
              <w:left w:val="single" w:sz="4" w:space="0" w:color="auto"/>
            </w:tcBorders>
            <w:shd w:val="clear" w:color="auto" w:fill="auto"/>
          </w:tcPr>
          <w:p w14:paraId="7644A435" w14:textId="77777777" w:rsidR="00344050" w:rsidRPr="00441E95" w:rsidRDefault="003440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E26341" w:rsidRPr="00441E95" w14:paraId="3F8B94E2" w14:textId="77777777" w:rsidTr="00F72064">
        <w:trPr>
          <w:jc w:val="center"/>
        </w:trPr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711FBAC4" w14:textId="77777777" w:rsidR="00344050" w:rsidRPr="00441E95" w:rsidRDefault="00467F1A" w:rsidP="00F72064">
            <w:pPr>
              <w:pStyle w:val="Arial105ptbefore"/>
              <w:spacing w:before="0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7.5.</w:t>
            </w:r>
          </w:p>
        </w:tc>
        <w:tc>
          <w:tcPr>
            <w:tcW w:w="980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4CF3BA" w14:textId="53AC2BFC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Vođenje računovodstva FI-</w:t>
            </w:r>
            <w:r w:rsidR="003C0C59"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j</w:t>
            </w: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a</w:t>
            </w:r>
          </w:p>
        </w:tc>
        <w:tc>
          <w:tcPr>
            <w:tcW w:w="212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2F1098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</w:t>
            </w:r>
          </w:p>
        </w:tc>
        <w:tc>
          <w:tcPr>
            <w:tcW w:w="189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9C71E2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(R)</w:t>
            </w:r>
          </w:p>
        </w:tc>
        <w:tc>
          <w:tcPr>
            <w:tcW w:w="212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C9BCB3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</w:t>
            </w:r>
          </w:p>
        </w:tc>
        <w:tc>
          <w:tcPr>
            <w:tcW w:w="184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58F174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</w:t>
            </w:r>
          </w:p>
        </w:tc>
        <w:tc>
          <w:tcPr>
            <w:tcW w:w="171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339B20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D2E601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82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CE9ADE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408" w:type="pct"/>
            <w:tcBorders>
              <w:top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17FCB5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91" w:type="pct"/>
            <w:vMerge/>
            <w:shd w:val="clear" w:color="auto" w:fill="auto"/>
          </w:tcPr>
          <w:p w14:paraId="24467F3A" w14:textId="77777777" w:rsidR="00344050" w:rsidRPr="00441E95" w:rsidRDefault="003440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BB12EC" w:rsidRPr="00441E95" w14:paraId="6CA808EC" w14:textId="77777777" w:rsidTr="003D5B3B">
        <w:trPr>
          <w:jc w:val="center"/>
        </w:trPr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68DB8082" w14:textId="77777777" w:rsidR="00344050" w:rsidRPr="00441E95" w:rsidRDefault="00BB12EC" w:rsidP="00F72064">
            <w:pPr>
              <w:pStyle w:val="Arial105ptbefore"/>
              <w:spacing w:before="0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7.6.</w:t>
            </w:r>
          </w:p>
        </w:tc>
        <w:tc>
          <w:tcPr>
            <w:tcW w:w="980" w:type="pct"/>
            <w:shd w:val="clear" w:color="auto" w:fill="D9D9D9" w:themeFill="background1" w:themeFillShade="D9"/>
            <w:vAlign w:val="center"/>
          </w:tcPr>
          <w:p w14:paraId="2940056E" w14:textId="0FF93E04" w:rsidR="00506500" w:rsidRPr="00441E95" w:rsidRDefault="005C7D96" w:rsidP="005C7D96">
            <w:pPr>
              <w:pStyle w:val="Arial105ptbefore"/>
              <w:spacing w:before="0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Unos u MIS i/ili sustav eFondovi (a/p)</w:t>
            </w:r>
          </w:p>
        </w:tc>
        <w:tc>
          <w:tcPr>
            <w:tcW w:w="212" w:type="pct"/>
            <w:shd w:val="clear" w:color="auto" w:fill="D9D9D9" w:themeFill="background1" w:themeFillShade="D9"/>
            <w:vAlign w:val="center"/>
          </w:tcPr>
          <w:p w14:paraId="181D0BAE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</w:t>
            </w:r>
          </w:p>
        </w:tc>
        <w:tc>
          <w:tcPr>
            <w:tcW w:w="189" w:type="pct"/>
            <w:shd w:val="clear" w:color="auto" w:fill="D9D9D9" w:themeFill="background1" w:themeFillShade="D9"/>
            <w:vAlign w:val="center"/>
          </w:tcPr>
          <w:p w14:paraId="2D55C6F6" w14:textId="67CCD0FB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12" w:type="pct"/>
            <w:shd w:val="clear" w:color="auto" w:fill="D9D9D9" w:themeFill="background1" w:themeFillShade="D9"/>
            <w:vAlign w:val="center"/>
          </w:tcPr>
          <w:p w14:paraId="4EBEA069" w14:textId="377A097F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shd w:val="clear" w:color="auto" w:fill="D9D9D9" w:themeFill="background1" w:themeFillShade="D9"/>
            <w:vAlign w:val="center"/>
          </w:tcPr>
          <w:p w14:paraId="021CBC35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1" w:type="pct"/>
            <w:shd w:val="clear" w:color="auto" w:fill="D9D9D9" w:themeFill="background1" w:themeFillShade="D9"/>
            <w:vAlign w:val="center"/>
          </w:tcPr>
          <w:p w14:paraId="236CEB7D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shd w:val="clear" w:color="auto" w:fill="D9D9D9" w:themeFill="background1" w:themeFillShade="D9"/>
            <w:vAlign w:val="center"/>
          </w:tcPr>
          <w:p w14:paraId="2492D0AA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82" w:type="pct"/>
            <w:shd w:val="clear" w:color="auto" w:fill="D9D9D9" w:themeFill="background1" w:themeFillShade="D9"/>
            <w:vAlign w:val="center"/>
          </w:tcPr>
          <w:p w14:paraId="2F5BC15B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408" w:type="pct"/>
            <w:shd w:val="clear" w:color="auto" w:fill="D9D9D9" w:themeFill="background1" w:themeFillShade="D9"/>
            <w:vAlign w:val="center"/>
          </w:tcPr>
          <w:p w14:paraId="6E15915A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91" w:type="pct"/>
            <w:vMerge/>
            <w:shd w:val="clear" w:color="auto" w:fill="auto"/>
          </w:tcPr>
          <w:p w14:paraId="4C762CF8" w14:textId="77777777" w:rsidR="00344050" w:rsidRPr="00441E95" w:rsidRDefault="003440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D034EF" w:rsidRPr="00441E95" w14:paraId="5DB52863" w14:textId="77777777" w:rsidTr="00F72064">
        <w:trPr>
          <w:jc w:val="center"/>
        </w:trPr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056B35FB" w14:textId="77777777" w:rsidR="00D034EF" w:rsidRPr="00441E95" w:rsidRDefault="00D034EF" w:rsidP="00F72064">
            <w:pPr>
              <w:pStyle w:val="Arial105ptbefore"/>
              <w:spacing w:before="0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7.7.</w:t>
            </w:r>
          </w:p>
        </w:tc>
        <w:tc>
          <w:tcPr>
            <w:tcW w:w="2822" w:type="pct"/>
            <w:gridSpan w:val="9"/>
            <w:shd w:val="clear" w:color="auto" w:fill="D9D9D9" w:themeFill="background1" w:themeFillShade="D9"/>
          </w:tcPr>
          <w:p w14:paraId="7D02958D" w14:textId="644605C7" w:rsidR="00D034EF" w:rsidRPr="00441E95" w:rsidRDefault="00D034EF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b/>
                <w:noProof w:val="0"/>
                <w:sz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Praćenje i nadzor provedbe FI-ja</w:t>
            </w:r>
          </w:p>
        </w:tc>
        <w:tc>
          <w:tcPr>
            <w:tcW w:w="1791" w:type="pct"/>
            <w:vMerge w:val="restart"/>
            <w:shd w:val="clear" w:color="auto" w:fill="auto"/>
          </w:tcPr>
          <w:p w14:paraId="67304B57" w14:textId="0E6124FB" w:rsidR="00D034EF" w:rsidRPr="00441E95" w:rsidRDefault="00D57F05" w:rsidP="00EA6306">
            <w:pPr>
              <w:pStyle w:val="Arial105ptbefore"/>
              <w:numPr>
                <w:ilvl w:val="0"/>
                <w:numId w:val="5"/>
              </w:numPr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o</w:t>
            </w:r>
            <w:r w:rsidR="00D034EF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dluka UT-a o uspostavi USFI-ja</w:t>
            </w:r>
          </w:p>
          <w:p w14:paraId="42C73208" w14:textId="3FD46569" w:rsidR="00D034EF" w:rsidRPr="00441E95" w:rsidRDefault="00D57F05" w:rsidP="00EA6306">
            <w:pPr>
              <w:pStyle w:val="Arial105ptbefore"/>
              <w:numPr>
                <w:ilvl w:val="0"/>
                <w:numId w:val="5"/>
              </w:numPr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z</w:t>
            </w:r>
            <w:r w:rsidR="00D034EF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apisnici sa sastanaka USFI-ja</w:t>
            </w:r>
          </w:p>
          <w:p w14:paraId="6ED7262F" w14:textId="524337C6" w:rsidR="00D034EF" w:rsidRPr="00441E95" w:rsidRDefault="00D57F05" w:rsidP="00EA6306">
            <w:pPr>
              <w:pStyle w:val="Arial105ptbefore"/>
              <w:numPr>
                <w:ilvl w:val="0"/>
                <w:numId w:val="5"/>
              </w:numPr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u</w:t>
            </w:r>
            <w:r w:rsidR="00D034EF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svojen </w:t>
            </w:r>
            <w:r w:rsidR="00D034EF" w:rsidRPr="00441E95"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  <w:t>Godišnji plan nadzora provedbe FI-ja</w:t>
            </w:r>
          </w:p>
          <w:p w14:paraId="4EE0CBA4" w14:textId="083D5CEF" w:rsidR="00D034EF" w:rsidRPr="00441E95" w:rsidRDefault="00D57F05" w:rsidP="00EA6306">
            <w:pPr>
              <w:pStyle w:val="Arial105ptbefore"/>
              <w:numPr>
                <w:ilvl w:val="0"/>
                <w:numId w:val="5"/>
              </w:numPr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</w:t>
            </w:r>
            <w:r w:rsidR="00D034EF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zvješća </w:t>
            </w:r>
            <w:r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o</w:t>
            </w:r>
            <w:r w:rsidR="00D034EF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provedbi </w:t>
            </w:r>
            <w:r w:rsidR="00D034EF" w:rsidRPr="00441E95"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  <w:t>Godišnjeg plana nadzora provedbe FI-ja</w:t>
            </w:r>
          </w:p>
          <w:p w14:paraId="20F12214" w14:textId="436CD349" w:rsidR="00D034EF" w:rsidRPr="00441E95" w:rsidRDefault="00D034EF" w:rsidP="00EA6306">
            <w:pPr>
              <w:pStyle w:val="Arial105ptbefore"/>
              <w:numPr>
                <w:ilvl w:val="0"/>
                <w:numId w:val="5"/>
              </w:numPr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ARO izrađen i dobivena suglasnost UT-a</w:t>
            </w:r>
          </w:p>
        </w:tc>
      </w:tr>
      <w:tr w:rsidR="00D034EF" w:rsidRPr="00441E95" w14:paraId="4719721C" w14:textId="77777777" w:rsidTr="00F72064">
        <w:trPr>
          <w:jc w:val="center"/>
        </w:trPr>
        <w:tc>
          <w:tcPr>
            <w:tcW w:w="387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DB56FA" w14:textId="77777777" w:rsidR="00D034EF" w:rsidRPr="00441E95" w:rsidRDefault="00D034EF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7.7.a</w:t>
            </w:r>
          </w:p>
        </w:tc>
        <w:tc>
          <w:tcPr>
            <w:tcW w:w="9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475B5" w14:textId="46D5B94D" w:rsidR="00D034EF" w:rsidRPr="00441E95" w:rsidRDefault="00D034EF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Uspostava i rad USFI-ja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48622" w14:textId="77777777" w:rsidR="00D034EF" w:rsidRPr="00441E95" w:rsidRDefault="00D034EF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R, A</w:t>
            </w:r>
          </w:p>
        </w:tc>
        <w:tc>
          <w:tcPr>
            <w:tcW w:w="1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DA96F9" w14:textId="77777777" w:rsidR="00D034EF" w:rsidRPr="00441E95" w:rsidRDefault="00D034EF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EB961" w14:textId="77777777" w:rsidR="00D034EF" w:rsidRPr="00441E95" w:rsidRDefault="00D034EF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A9FCB" w14:textId="77777777" w:rsidR="00D034EF" w:rsidRPr="00441E95" w:rsidRDefault="00D034EF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11B9D" w14:textId="77777777" w:rsidR="00D034EF" w:rsidRPr="00441E95" w:rsidRDefault="00D034EF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lang w:val="hr-HR"/>
              </w:rPr>
            </w:pP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5351" w14:textId="77777777" w:rsidR="00D034EF" w:rsidRPr="00441E95" w:rsidRDefault="00D034EF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C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218E1" w14:textId="77777777" w:rsidR="00D034EF" w:rsidRPr="00441E95" w:rsidRDefault="00D034EF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408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0AD12A09" w14:textId="77777777" w:rsidR="00D034EF" w:rsidRPr="00441E95" w:rsidRDefault="00D034EF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91" w:type="pct"/>
            <w:vMerge/>
            <w:shd w:val="clear" w:color="auto" w:fill="auto"/>
          </w:tcPr>
          <w:p w14:paraId="15465AE3" w14:textId="77777777" w:rsidR="00D034EF" w:rsidRPr="00441E95" w:rsidRDefault="00D034EF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D034EF" w:rsidRPr="00441E95" w14:paraId="4F57DD49" w14:textId="77777777" w:rsidTr="00F72064">
        <w:trPr>
          <w:jc w:val="center"/>
        </w:trPr>
        <w:tc>
          <w:tcPr>
            <w:tcW w:w="387" w:type="pct"/>
            <w:shd w:val="clear" w:color="auto" w:fill="auto"/>
            <w:vAlign w:val="center"/>
          </w:tcPr>
          <w:p w14:paraId="363B6621" w14:textId="77777777" w:rsidR="00D034EF" w:rsidRPr="00441E95" w:rsidRDefault="00D034EF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7.7.b</w:t>
            </w:r>
          </w:p>
        </w:tc>
        <w:tc>
          <w:tcPr>
            <w:tcW w:w="98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C9BE2E" w14:textId="056FE3D5" w:rsidR="00D034EF" w:rsidRPr="00441E95" w:rsidRDefault="00D034EF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Upravljačke provjere FI-ja</w:t>
            </w:r>
          </w:p>
        </w:tc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91BB69" w14:textId="77777777" w:rsidR="00D034EF" w:rsidRPr="00441E95" w:rsidRDefault="00D034EF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</w:t>
            </w:r>
          </w:p>
        </w:tc>
        <w:tc>
          <w:tcPr>
            <w:tcW w:w="18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6CF76AD" w14:textId="77777777" w:rsidR="00D034EF" w:rsidRPr="00441E95" w:rsidRDefault="00D034EF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1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00881EB" w14:textId="77777777" w:rsidR="00D034EF" w:rsidRPr="00441E95" w:rsidRDefault="00D034EF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C</w:t>
            </w:r>
          </w:p>
        </w:tc>
        <w:tc>
          <w:tcPr>
            <w:tcW w:w="18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16D019E" w14:textId="77777777" w:rsidR="00D034EF" w:rsidRPr="00441E95" w:rsidRDefault="00D034EF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E3DDCC" w14:textId="77777777" w:rsidR="00D034EF" w:rsidRPr="00441E95" w:rsidRDefault="00D034EF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tcBorders>
              <w:top w:val="single" w:sz="4" w:space="0" w:color="auto"/>
            </w:tcBorders>
            <w:vAlign w:val="center"/>
          </w:tcPr>
          <w:p w14:paraId="79C094F3" w14:textId="77777777" w:rsidR="00D034EF" w:rsidRPr="00441E95" w:rsidRDefault="00D034EF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</w:t>
            </w:r>
          </w:p>
        </w:tc>
        <w:tc>
          <w:tcPr>
            <w:tcW w:w="282" w:type="pct"/>
            <w:tcBorders>
              <w:top w:val="single" w:sz="4" w:space="0" w:color="auto"/>
            </w:tcBorders>
            <w:vAlign w:val="center"/>
          </w:tcPr>
          <w:p w14:paraId="6C1F372B" w14:textId="77777777" w:rsidR="00D034EF" w:rsidRPr="00441E95" w:rsidRDefault="00D034EF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408" w:type="pct"/>
            <w:shd w:val="clear" w:color="auto" w:fill="auto"/>
            <w:vAlign w:val="center"/>
          </w:tcPr>
          <w:p w14:paraId="0494676F" w14:textId="77777777" w:rsidR="00D034EF" w:rsidRPr="00441E95" w:rsidRDefault="00D034EF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91" w:type="pct"/>
            <w:vMerge/>
            <w:shd w:val="clear" w:color="auto" w:fill="auto"/>
          </w:tcPr>
          <w:p w14:paraId="4C50B5B6" w14:textId="77777777" w:rsidR="00D034EF" w:rsidRPr="00441E95" w:rsidRDefault="00D034EF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D034EF" w:rsidRPr="00441E95" w14:paraId="7EA4F471" w14:textId="77777777" w:rsidTr="00F72064">
        <w:trPr>
          <w:jc w:val="center"/>
        </w:trPr>
        <w:tc>
          <w:tcPr>
            <w:tcW w:w="387" w:type="pct"/>
            <w:shd w:val="clear" w:color="auto" w:fill="auto"/>
            <w:vAlign w:val="center"/>
          </w:tcPr>
          <w:p w14:paraId="0FBB5DA4" w14:textId="76C75EC2" w:rsidR="00D034EF" w:rsidRPr="00441E95" w:rsidRDefault="00D034EF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7.7.c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22040E7C" w14:textId="1877A894" w:rsidR="00D034EF" w:rsidRPr="00441E95" w:rsidRDefault="00D034EF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Upravljačke provjere FI-ja (EIB, članica grupe EIB-a i međunarodna financijska institucija)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10AC5D7A" w14:textId="675437C3" w:rsidR="00D034EF" w:rsidRPr="00441E95" w:rsidRDefault="00D034EF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F8ACE2A" w14:textId="77777777" w:rsidR="00D034EF" w:rsidRPr="00441E95" w:rsidRDefault="00D034EF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 w14:paraId="4B13E79D" w14:textId="24EC1C71" w:rsidR="00D034EF" w:rsidRPr="00441E95" w:rsidRDefault="00D034EF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C</w:t>
            </w:r>
          </w:p>
        </w:tc>
        <w:tc>
          <w:tcPr>
            <w:tcW w:w="184" w:type="pct"/>
            <w:shd w:val="clear" w:color="auto" w:fill="auto"/>
            <w:vAlign w:val="center"/>
          </w:tcPr>
          <w:p w14:paraId="55A96161" w14:textId="77777777" w:rsidR="00D034EF" w:rsidRPr="00441E95" w:rsidRDefault="00D034EF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1" w:type="pct"/>
            <w:shd w:val="clear" w:color="auto" w:fill="auto"/>
            <w:vAlign w:val="center"/>
          </w:tcPr>
          <w:p w14:paraId="5E099CEE" w14:textId="77777777" w:rsidR="00D034EF" w:rsidRPr="00441E95" w:rsidRDefault="00D034EF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vAlign w:val="center"/>
          </w:tcPr>
          <w:p w14:paraId="31D6365F" w14:textId="110BE469" w:rsidR="00D034EF" w:rsidRPr="00441E95" w:rsidRDefault="00D034EF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</w:t>
            </w:r>
          </w:p>
        </w:tc>
        <w:tc>
          <w:tcPr>
            <w:tcW w:w="282" w:type="pct"/>
            <w:vAlign w:val="center"/>
          </w:tcPr>
          <w:p w14:paraId="01F0A12C" w14:textId="77777777" w:rsidR="00D034EF" w:rsidRPr="00441E95" w:rsidRDefault="00D034EF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408" w:type="pct"/>
            <w:shd w:val="clear" w:color="auto" w:fill="auto"/>
            <w:vAlign w:val="center"/>
          </w:tcPr>
          <w:p w14:paraId="0763D37A" w14:textId="77777777" w:rsidR="00D034EF" w:rsidRPr="00441E95" w:rsidRDefault="00D034EF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91" w:type="pct"/>
            <w:vMerge/>
            <w:shd w:val="clear" w:color="auto" w:fill="auto"/>
          </w:tcPr>
          <w:p w14:paraId="1BB4B588" w14:textId="77777777" w:rsidR="00D034EF" w:rsidRPr="00441E95" w:rsidRDefault="00D034EF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E26341" w:rsidRPr="00441E95" w14:paraId="7CB1C73E" w14:textId="77777777" w:rsidTr="00F72064">
        <w:trPr>
          <w:jc w:val="center"/>
        </w:trPr>
        <w:tc>
          <w:tcPr>
            <w:tcW w:w="387" w:type="pct"/>
            <w:shd w:val="clear" w:color="auto" w:fill="auto"/>
            <w:vAlign w:val="center"/>
          </w:tcPr>
          <w:p w14:paraId="78D10F02" w14:textId="3522E583" w:rsidR="00344050" w:rsidRPr="00441E95" w:rsidRDefault="00BB12EC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7.7.</w:t>
            </w:r>
            <w:r w:rsidR="00E6486B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d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0739C999" w14:textId="2A95735D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Praćenje adekvatnosti ljudskih potencijala TPFI</w:t>
            </w:r>
            <w:r w:rsidR="00D32C02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-ja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/FF</w:t>
            </w:r>
            <w:r w:rsidR="00D32C02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-a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4EF7AE73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A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0EEC50A4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 w14:paraId="1ADE5568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</w:t>
            </w:r>
          </w:p>
        </w:tc>
        <w:tc>
          <w:tcPr>
            <w:tcW w:w="184" w:type="pct"/>
            <w:shd w:val="clear" w:color="auto" w:fill="auto"/>
            <w:vAlign w:val="center"/>
          </w:tcPr>
          <w:p w14:paraId="5E7F489A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1" w:type="pct"/>
            <w:shd w:val="clear" w:color="auto" w:fill="auto"/>
            <w:vAlign w:val="center"/>
          </w:tcPr>
          <w:p w14:paraId="54112345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vAlign w:val="center"/>
          </w:tcPr>
          <w:p w14:paraId="3082FA6A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</w:t>
            </w:r>
          </w:p>
        </w:tc>
        <w:tc>
          <w:tcPr>
            <w:tcW w:w="282" w:type="pct"/>
            <w:vAlign w:val="center"/>
          </w:tcPr>
          <w:p w14:paraId="2BCD8103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408" w:type="pct"/>
            <w:shd w:val="clear" w:color="auto" w:fill="auto"/>
            <w:vAlign w:val="center"/>
          </w:tcPr>
          <w:p w14:paraId="05DB1507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91" w:type="pct"/>
            <w:shd w:val="clear" w:color="auto" w:fill="auto"/>
          </w:tcPr>
          <w:p w14:paraId="40C26537" w14:textId="77777777" w:rsidR="00344050" w:rsidRPr="00441E95" w:rsidRDefault="003440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A0217E" w:rsidRPr="00441E95" w14:paraId="0B9A7F4A" w14:textId="77777777" w:rsidTr="00F72064">
        <w:trPr>
          <w:jc w:val="center"/>
        </w:trPr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4B3594AD" w14:textId="77777777" w:rsidR="00A0217E" w:rsidRPr="00441E95" w:rsidRDefault="004C1ECF" w:rsidP="00F72064">
            <w:pPr>
              <w:pStyle w:val="Arial105ptbefore"/>
              <w:spacing w:before="0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lastRenderedPageBreak/>
              <w:t>7.8.</w:t>
            </w:r>
          </w:p>
        </w:tc>
        <w:tc>
          <w:tcPr>
            <w:tcW w:w="2822" w:type="pct"/>
            <w:gridSpan w:val="9"/>
            <w:shd w:val="clear" w:color="auto" w:fill="D9D9D9" w:themeFill="background1" w:themeFillShade="D9"/>
          </w:tcPr>
          <w:p w14:paraId="61959420" w14:textId="77777777" w:rsidR="00A0217E" w:rsidRPr="00441E95" w:rsidRDefault="004C1ECF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b/>
                <w:noProof w:val="0"/>
                <w:sz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Postupak izvješćivanja</w:t>
            </w:r>
          </w:p>
        </w:tc>
        <w:tc>
          <w:tcPr>
            <w:tcW w:w="1791" w:type="pct"/>
            <w:vMerge w:val="restart"/>
            <w:shd w:val="clear" w:color="auto" w:fill="auto"/>
          </w:tcPr>
          <w:p w14:paraId="42608351" w14:textId="7C21F7E7" w:rsidR="00A0217E" w:rsidRPr="00441E95" w:rsidRDefault="00D57F05" w:rsidP="00EA6306">
            <w:pPr>
              <w:pStyle w:val="Arial105ptbefore"/>
              <w:numPr>
                <w:ilvl w:val="0"/>
                <w:numId w:val="10"/>
              </w:numPr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</w:t>
            </w:r>
            <w:r w:rsidR="00A0217E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zvješća prema Prilogu 03</w:t>
            </w:r>
            <w:r w:rsidR="00B20B16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i</w:t>
            </w:r>
            <w:r w:rsidR="00A0217E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Prilogu 04 ZNP-a</w:t>
            </w:r>
            <w:r w:rsidR="00244843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br. 14</w:t>
            </w:r>
          </w:p>
        </w:tc>
      </w:tr>
      <w:tr w:rsidR="00E26341" w:rsidRPr="00441E95" w14:paraId="351F9F63" w14:textId="77777777" w:rsidTr="00F72064">
        <w:trPr>
          <w:jc w:val="center"/>
        </w:trPr>
        <w:tc>
          <w:tcPr>
            <w:tcW w:w="387" w:type="pct"/>
            <w:shd w:val="clear" w:color="auto" w:fill="auto"/>
            <w:vAlign w:val="center"/>
          </w:tcPr>
          <w:p w14:paraId="4111EA96" w14:textId="77777777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lang w:val="hr-HR"/>
              </w:rPr>
            </w:pPr>
          </w:p>
        </w:tc>
        <w:tc>
          <w:tcPr>
            <w:tcW w:w="980" w:type="pct"/>
            <w:shd w:val="clear" w:color="auto" w:fill="auto"/>
            <w:vAlign w:val="center"/>
          </w:tcPr>
          <w:p w14:paraId="676158E0" w14:textId="4DC420BE" w:rsidR="00344050" w:rsidRPr="00441E95" w:rsidRDefault="00344050" w:rsidP="00F72064">
            <w:pPr>
              <w:pStyle w:val="Arial105ptbefore"/>
              <w:spacing w:before="0"/>
              <w:rPr>
                <w:rFonts w:ascii="Times New Roman" w:eastAsia="Calibri" w:hAnsi="Times New Roman"/>
                <w:noProof w:val="0"/>
                <w:sz w:val="24"/>
                <w:lang w:val="hr-HR"/>
              </w:rPr>
            </w:pPr>
            <w:r w:rsidRPr="00441E95">
              <w:rPr>
                <w:rFonts w:ascii="Times New Roman" w:eastAsia="Calibri" w:hAnsi="Times New Roman"/>
                <w:noProof w:val="0"/>
                <w:sz w:val="24"/>
                <w:lang w:val="hr-HR"/>
              </w:rPr>
              <w:t>Izvješćivanje TPFI</w:t>
            </w:r>
            <w:r w:rsidR="00D32C02" w:rsidRPr="00441E95">
              <w:rPr>
                <w:rFonts w:ascii="Times New Roman" w:eastAsia="Calibri" w:hAnsi="Times New Roman"/>
                <w:noProof w:val="0"/>
                <w:sz w:val="24"/>
                <w:lang w:val="hr-HR"/>
              </w:rPr>
              <w:t>-ja</w:t>
            </w:r>
            <w:r w:rsidRPr="00441E95">
              <w:rPr>
                <w:rFonts w:ascii="Times New Roman" w:eastAsia="Calibri" w:hAnsi="Times New Roman"/>
                <w:noProof w:val="0"/>
                <w:sz w:val="24"/>
                <w:lang w:val="hr-HR"/>
              </w:rPr>
              <w:t>/FF</w:t>
            </w:r>
            <w:r w:rsidR="00D32C02" w:rsidRPr="00441E95">
              <w:rPr>
                <w:rFonts w:ascii="Times New Roman" w:eastAsia="Calibri" w:hAnsi="Times New Roman"/>
                <w:noProof w:val="0"/>
                <w:sz w:val="24"/>
                <w:lang w:val="hr-HR"/>
              </w:rPr>
              <w:t>-a</w:t>
            </w:r>
            <w:r w:rsidRPr="00441E95">
              <w:rPr>
                <w:rFonts w:ascii="Times New Roman" w:eastAsia="Calibri" w:hAnsi="Times New Roman"/>
                <w:noProof w:val="0"/>
                <w:sz w:val="24"/>
                <w:lang w:val="hr-HR"/>
              </w:rPr>
              <w:t xml:space="preserve"> prema UT</w:t>
            </w:r>
            <w:r w:rsidR="00D32C02" w:rsidRPr="00441E95">
              <w:rPr>
                <w:rFonts w:ascii="Times New Roman" w:eastAsia="Calibri" w:hAnsi="Times New Roman"/>
                <w:noProof w:val="0"/>
                <w:sz w:val="24"/>
                <w:lang w:val="hr-HR"/>
              </w:rPr>
              <w:t>-u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1C9B8828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lang w:val="hr-HR"/>
              </w:rPr>
              <w:t>A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5C326E6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 w14:paraId="7AB7FA27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</w:t>
            </w:r>
          </w:p>
        </w:tc>
        <w:tc>
          <w:tcPr>
            <w:tcW w:w="184" w:type="pct"/>
            <w:shd w:val="clear" w:color="auto" w:fill="auto"/>
            <w:vAlign w:val="center"/>
          </w:tcPr>
          <w:p w14:paraId="7F0497A2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1" w:type="pct"/>
            <w:shd w:val="clear" w:color="auto" w:fill="auto"/>
            <w:vAlign w:val="center"/>
          </w:tcPr>
          <w:p w14:paraId="6E3A3096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vAlign w:val="center"/>
          </w:tcPr>
          <w:p w14:paraId="4966EBBE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C, I</w:t>
            </w:r>
          </w:p>
        </w:tc>
        <w:tc>
          <w:tcPr>
            <w:tcW w:w="282" w:type="pct"/>
            <w:vAlign w:val="center"/>
          </w:tcPr>
          <w:p w14:paraId="0C6EBE9B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lang w:val="hr-HR"/>
              </w:rPr>
            </w:pPr>
          </w:p>
        </w:tc>
        <w:tc>
          <w:tcPr>
            <w:tcW w:w="408" w:type="pct"/>
            <w:shd w:val="clear" w:color="auto" w:fill="auto"/>
            <w:vAlign w:val="center"/>
          </w:tcPr>
          <w:p w14:paraId="0F92E6FA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91" w:type="pct"/>
            <w:vMerge/>
            <w:shd w:val="clear" w:color="auto" w:fill="auto"/>
            <w:vAlign w:val="center"/>
          </w:tcPr>
          <w:p w14:paraId="11B3ADCF" w14:textId="77777777" w:rsidR="00344050" w:rsidRPr="00441E95" w:rsidRDefault="003440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E26341" w:rsidRPr="00441E95" w14:paraId="24BE3175" w14:textId="77777777" w:rsidTr="00F72064">
        <w:trPr>
          <w:jc w:val="center"/>
        </w:trPr>
        <w:tc>
          <w:tcPr>
            <w:tcW w:w="387" w:type="pct"/>
            <w:shd w:val="clear" w:color="auto" w:fill="auto"/>
            <w:vAlign w:val="center"/>
          </w:tcPr>
          <w:p w14:paraId="193273DB" w14:textId="77777777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980" w:type="pct"/>
            <w:shd w:val="clear" w:color="auto" w:fill="auto"/>
            <w:vAlign w:val="center"/>
          </w:tcPr>
          <w:p w14:paraId="3F9358B3" w14:textId="1C3CAB25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  <w:t>Izvješćivanje FP</w:t>
            </w:r>
            <w:r w:rsidR="001C1A74" w:rsidRPr="00441E95"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  <w:t>-a</w:t>
            </w:r>
            <w:r w:rsidRPr="00441E95"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  <w:t xml:space="preserve"> prema TPFI</w:t>
            </w:r>
            <w:r w:rsidR="001C1A74" w:rsidRPr="00441E95"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  <w:t>-ju</w:t>
            </w:r>
            <w:r w:rsidRPr="00441E95"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  <w:t>/FF</w:t>
            </w:r>
            <w:r w:rsidR="001C1A74" w:rsidRPr="00441E95"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  <w:t>-u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12BE9117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9" w:type="pct"/>
            <w:shd w:val="clear" w:color="auto" w:fill="auto"/>
            <w:vAlign w:val="center"/>
          </w:tcPr>
          <w:p w14:paraId="33D0CC77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 w14:paraId="6C40B20B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A</w:t>
            </w:r>
          </w:p>
        </w:tc>
        <w:tc>
          <w:tcPr>
            <w:tcW w:w="184" w:type="pct"/>
            <w:shd w:val="clear" w:color="auto" w:fill="auto"/>
            <w:vAlign w:val="center"/>
          </w:tcPr>
          <w:p w14:paraId="08FB2E69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</w:t>
            </w:r>
          </w:p>
        </w:tc>
        <w:tc>
          <w:tcPr>
            <w:tcW w:w="171" w:type="pct"/>
            <w:shd w:val="clear" w:color="auto" w:fill="auto"/>
            <w:vAlign w:val="center"/>
          </w:tcPr>
          <w:p w14:paraId="27302087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vAlign w:val="center"/>
          </w:tcPr>
          <w:p w14:paraId="7C5C9F39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</w:t>
            </w:r>
          </w:p>
        </w:tc>
        <w:tc>
          <w:tcPr>
            <w:tcW w:w="282" w:type="pct"/>
            <w:vAlign w:val="center"/>
          </w:tcPr>
          <w:p w14:paraId="08555927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lang w:val="hr-HR"/>
              </w:rPr>
            </w:pPr>
          </w:p>
        </w:tc>
        <w:tc>
          <w:tcPr>
            <w:tcW w:w="408" w:type="pct"/>
            <w:shd w:val="clear" w:color="auto" w:fill="auto"/>
            <w:vAlign w:val="center"/>
          </w:tcPr>
          <w:p w14:paraId="4D49E1FE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91" w:type="pct"/>
            <w:vMerge/>
            <w:shd w:val="clear" w:color="auto" w:fill="auto"/>
            <w:vAlign w:val="center"/>
          </w:tcPr>
          <w:p w14:paraId="266FA94A" w14:textId="77777777" w:rsidR="00344050" w:rsidRPr="00441E95" w:rsidRDefault="003440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E26341" w:rsidRPr="00441E95" w14:paraId="37E9D8F3" w14:textId="77777777" w:rsidTr="00F72064">
        <w:trPr>
          <w:jc w:val="center"/>
        </w:trPr>
        <w:tc>
          <w:tcPr>
            <w:tcW w:w="387" w:type="pct"/>
            <w:shd w:val="clear" w:color="auto" w:fill="auto"/>
            <w:vAlign w:val="center"/>
          </w:tcPr>
          <w:p w14:paraId="2F7C2A79" w14:textId="77777777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980" w:type="pct"/>
            <w:shd w:val="clear" w:color="auto" w:fill="auto"/>
            <w:vAlign w:val="center"/>
          </w:tcPr>
          <w:p w14:paraId="49763D0C" w14:textId="6BCBDA9B" w:rsidR="00344050" w:rsidRPr="00441E95" w:rsidRDefault="00344050" w:rsidP="00F72064">
            <w:pPr>
              <w:pStyle w:val="Arial105ptbefore"/>
              <w:spacing w:before="0"/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  <w:t>Izvješćivanje UT</w:t>
            </w:r>
            <w:r w:rsidR="001C1A74" w:rsidRPr="00441E95"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  <w:t>-a</w:t>
            </w:r>
            <w:r w:rsidRPr="00441E95"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  <w:t xml:space="preserve"> prema EK i OzP</w:t>
            </w:r>
            <w:r w:rsidR="001C1A74" w:rsidRPr="00441E95"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  <w:t>-u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5810CE13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17BE8B24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 w14:paraId="03ECAE90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14:paraId="29F16C8E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1" w:type="pct"/>
            <w:shd w:val="clear" w:color="auto" w:fill="auto"/>
            <w:vAlign w:val="center"/>
          </w:tcPr>
          <w:p w14:paraId="2DDE5DCD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</w:t>
            </w:r>
          </w:p>
        </w:tc>
        <w:tc>
          <w:tcPr>
            <w:tcW w:w="184" w:type="pct"/>
            <w:vAlign w:val="center"/>
          </w:tcPr>
          <w:p w14:paraId="46C14F9F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</w:t>
            </w:r>
          </w:p>
        </w:tc>
        <w:tc>
          <w:tcPr>
            <w:tcW w:w="282" w:type="pct"/>
            <w:vAlign w:val="center"/>
          </w:tcPr>
          <w:p w14:paraId="011871EA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21D6C7BF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91" w:type="pct"/>
            <w:vMerge/>
            <w:shd w:val="clear" w:color="auto" w:fill="auto"/>
            <w:vAlign w:val="center"/>
          </w:tcPr>
          <w:p w14:paraId="47B9A488" w14:textId="77777777" w:rsidR="00344050" w:rsidRPr="00441E95" w:rsidRDefault="0034405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A0217E" w:rsidRPr="00441E95" w14:paraId="60FBAAB9" w14:textId="77777777" w:rsidTr="00F72064">
        <w:trPr>
          <w:jc w:val="center"/>
        </w:trPr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2134B4DA" w14:textId="77777777" w:rsidR="00A0217E" w:rsidRPr="00441E95" w:rsidRDefault="00B60C78" w:rsidP="00F72064">
            <w:pPr>
              <w:pStyle w:val="Arial105ptbefore"/>
              <w:spacing w:before="0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7.9.</w:t>
            </w:r>
          </w:p>
        </w:tc>
        <w:tc>
          <w:tcPr>
            <w:tcW w:w="2822" w:type="pct"/>
            <w:gridSpan w:val="9"/>
            <w:shd w:val="clear" w:color="auto" w:fill="D9D9D9" w:themeFill="background1" w:themeFillShade="D9"/>
          </w:tcPr>
          <w:p w14:paraId="7E0AC91D" w14:textId="77777777" w:rsidR="00A0217E" w:rsidRPr="00441E95" w:rsidRDefault="00A0217E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Upravljanje rizicima</w:t>
            </w:r>
          </w:p>
        </w:tc>
        <w:tc>
          <w:tcPr>
            <w:tcW w:w="1791" w:type="pct"/>
            <w:vMerge w:val="restart"/>
            <w:shd w:val="clear" w:color="auto" w:fill="FFFFFF" w:themeFill="background1"/>
            <w:vAlign w:val="center"/>
          </w:tcPr>
          <w:p w14:paraId="7ED24708" w14:textId="5EFD55D6" w:rsidR="00A0217E" w:rsidRPr="00441E95" w:rsidRDefault="00D57F05" w:rsidP="00EA6306">
            <w:pPr>
              <w:pStyle w:val="Arial105ptbefore"/>
              <w:numPr>
                <w:ilvl w:val="0"/>
                <w:numId w:val="5"/>
              </w:numPr>
              <w:spacing w:before="0"/>
              <w:jc w:val="both"/>
              <w:rPr>
                <w:rFonts w:ascii="Times New Roman" w:eastAsia="Arial" w:hAnsi="Times New Roman"/>
                <w:noProof w:val="0"/>
                <w:sz w:val="24"/>
                <w:szCs w:val="24"/>
                <w:lang w:val="hr-HR"/>
              </w:rPr>
            </w:pPr>
            <w:r>
              <w:rPr>
                <w:rFonts w:ascii="Times New Roman" w:eastAsia="Arial" w:hAnsi="Times New Roman"/>
                <w:noProof w:val="0"/>
                <w:sz w:val="24"/>
                <w:szCs w:val="24"/>
                <w:lang w:val="hr-HR"/>
              </w:rPr>
              <w:t>i</w:t>
            </w:r>
            <w:r w:rsidR="00A0217E" w:rsidRPr="00441E95">
              <w:rPr>
                <w:rFonts w:ascii="Times New Roman" w:eastAsia="Arial" w:hAnsi="Times New Roman"/>
                <w:noProof w:val="0"/>
                <w:sz w:val="24"/>
                <w:szCs w:val="24"/>
                <w:lang w:val="hr-HR"/>
              </w:rPr>
              <w:t xml:space="preserve">menovanje </w:t>
            </w:r>
            <w:r w:rsidR="00A0217E" w:rsidRPr="00441E95">
              <w:rPr>
                <w:rFonts w:ascii="Times New Roman" w:eastAsia="Arial,Calibri" w:hAnsi="Times New Roman"/>
                <w:noProof w:val="0"/>
                <w:sz w:val="24"/>
                <w:szCs w:val="24"/>
                <w:lang w:val="hr-HR"/>
              </w:rPr>
              <w:t>Osobe za upravljanje rizicima za pojedini FI i koordinator</w:t>
            </w:r>
            <w:r w:rsidR="001C1A74" w:rsidRPr="00441E95">
              <w:rPr>
                <w:rFonts w:ascii="Times New Roman" w:eastAsia="Arial,Calibri" w:hAnsi="Times New Roman"/>
                <w:noProof w:val="0"/>
                <w:sz w:val="24"/>
                <w:szCs w:val="24"/>
                <w:lang w:val="hr-HR"/>
              </w:rPr>
              <w:t>a</w:t>
            </w:r>
            <w:r w:rsidR="00A0217E" w:rsidRPr="00441E95">
              <w:rPr>
                <w:rFonts w:ascii="Times New Roman" w:eastAsia="Arial,Calibri" w:hAnsi="Times New Roman"/>
                <w:noProof w:val="0"/>
                <w:sz w:val="24"/>
                <w:szCs w:val="24"/>
                <w:lang w:val="hr-HR"/>
              </w:rPr>
              <w:t xml:space="preserve"> za suzbijanje prijevara za pojedini FI</w:t>
            </w:r>
          </w:p>
          <w:p w14:paraId="63FBF484" w14:textId="77777777" w:rsidR="00A0217E" w:rsidRPr="00441E95" w:rsidRDefault="00A0217E" w:rsidP="00EA6306">
            <w:pPr>
              <w:pStyle w:val="Arial105ptbefore"/>
              <w:numPr>
                <w:ilvl w:val="0"/>
                <w:numId w:val="5"/>
              </w:numPr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  <w:t xml:space="preserve">mape procesnih rizika </w:t>
            </w:r>
          </w:p>
          <w:p w14:paraId="53E05A79" w14:textId="77777777" w:rsidR="00A0217E" w:rsidRPr="00441E95" w:rsidRDefault="00A0217E" w:rsidP="00EA6306">
            <w:pPr>
              <w:pStyle w:val="Arial105ptbefore"/>
              <w:numPr>
                <w:ilvl w:val="0"/>
                <w:numId w:val="5"/>
              </w:numPr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eastAsia="Calibri" w:hAnsi="Times New Roman"/>
                <w:noProof w:val="0"/>
                <w:sz w:val="24"/>
                <w:szCs w:val="24"/>
                <w:lang w:val="hr-HR"/>
              </w:rPr>
              <w:t>akcijski plan za umanjivanje rizika za pojedini FI</w:t>
            </w:r>
          </w:p>
        </w:tc>
      </w:tr>
      <w:tr w:rsidR="00E26341" w:rsidRPr="00441E95" w14:paraId="31C2AF3D" w14:textId="77777777" w:rsidTr="00F72064">
        <w:trPr>
          <w:jc w:val="center"/>
        </w:trPr>
        <w:tc>
          <w:tcPr>
            <w:tcW w:w="387" w:type="pct"/>
            <w:shd w:val="clear" w:color="auto" w:fill="auto"/>
            <w:vAlign w:val="center"/>
          </w:tcPr>
          <w:p w14:paraId="31D16216" w14:textId="77777777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980" w:type="pct"/>
            <w:shd w:val="clear" w:color="auto" w:fill="auto"/>
            <w:vAlign w:val="center"/>
          </w:tcPr>
          <w:p w14:paraId="48ACA887" w14:textId="77777777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Upravljanje rizicima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22CA2846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4077C81E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 w14:paraId="4E44F3B3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shd w:val="clear" w:color="auto" w:fill="auto"/>
            <w:vAlign w:val="center"/>
          </w:tcPr>
          <w:p w14:paraId="4645FAD6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1" w:type="pct"/>
            <w:shd w:val="clear" w:color="auto" w:fill="auto"/>
            <w:vAlign w:val="center"/>
          </w:tcPr>
          <w:p w14:paraId="05B4B14C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vAlign w:val="center"/>
          </w:tcPr>
          <w:p w14:paraId="00026404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82" w:type="pct"/>
            <w:vAlign w:val="center"/>
          </w:tcPr>
          <w:p w14:paraId="76C391CA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(C), I</w:t>
            </w:r>
          </w:p>
        </w:tc>
        <w:tc>
          <w:tcPr>
            <w:tcW w:w="408" w:type="pct"/>
            <w:shd w:val="clear" w:color="auto" w:fill="auto"/>
            <w:vAlign w:val="center"/>
          </w:tcPr>
          <w:p w14:paraId="47BCF642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91" w:type="pct"/>
            <w:vMerge/>
            <w:shd w:val="clear" w:color="auto" w:fill="FFFFFF" w:themeFill="background1"/>
          </w:tcPr>
          <w:p w14:paraId="37401DC4" w14:textId="77777777" w:rsidR="00344050" w:rsidRPr="00441E95" w:rsidRDefault="00344050" w:rsidP="00EA6306">
            <w:pPr>
              <w:pStyle w:val="Arial105ptbefore"/>
              <w:numPr>
                <w:ilvl w:val="0"/>
                <w:numId w:val="5"/>
              </w:numPr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A0217E" w:rsidRPr="00441E95" w14:paraId="6B93FD0F" w14:textId="77777777" w:rsidTr="00F72064">
        <w:trPr>
          <w:jc w:val="center"/>
        </w:trPr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14C97222" w14:textId="77777777" w:rsidR="00A0217E" w:rsidRPr="00441E95" w:rsidRDefault="00B60C78" w:rsidP="00F72064">
            <w:pPr>
              <w:pStyle w:val="Arial105ptbefore"/>
              <w:spacing w:before="0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7.10.</w:t>
            </w:r>
          </w:p>
        </w:tc>
        <w:tc>
          <w:tcPr>
            <w:tcW w:w="2822" w:type="pct"/>
            <w:gridSpan w:val="9"/>
            <w:shd w:val="clear" w:color="auto" w:fill="D9D9D9" w:themeFill="background1" w:themeFillShade="D9"/>
          </w:tcPr>
          <w:p w14:paraId="0F2C33F5" w14:textId="77777777" w:rsidR="00A0217E" w:rsidRPr="00441E95" w:rsidRDefault="00A0217E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lang w:val="hr-HR"/>
              </w:rPr>
              <w:t>Nepravilnosti</w:t>
            </w:r>
          </w:p>
        </w:tc>
        <w:tc>
          <w:tcPr>
            <w:tcW w:w="1791" w:type="pct"/>
            <w:vMerge w:val="restart"/>
            <w:shd w:val="clear" w:color="auto" w:fill="auto"/>
          </w:tcPr>
          <w:p w14:paraId="2DD1FAEC" w14:textId="37D2D965" w:rsidR="00A0217E" w:rsidRPr="00441E95" w:rsidRDefault="00A0217E" w:rsidP="00EA6306">
            <w:pPr>
              <w:pStyle w:val="Arial105ptbefore"/>
              <w:numPr>
                <w:ilvl w:val="0"/>
                <w:numId w:val="5"/>
              </w:numPr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izvješća o sumnjama na nepravilnosti, kao i </w:t>
            </w:r>
            <w:r w:rsidR="00325FFC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odluke 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o utvrđenim nepravilnostima </w:t>
            </w:r>
          </w:p>
        </w:tc>
      </w:tr>
      <w:tr w:rsidR="00E26341" w:rsidRPr="00441E95" w14:paraId="72460D17" w14:textId="77777777" w:rsidTr="00F72064">
        <w:trPr>
          <w:jc w:val="center"/>
        </w:trPr>
        <w:tc>
          <w:tcPr>
            <w:tcW w:w="387" w:type="pct"/>
            <w:shd w:val="clear" w:color="auto" w:fill="auto"/>
            <w:vAlign w:val="center"/>
          </w:tcPr>
          <w:p w14:paraId="276013AC" w14:textId="77777777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lang w:val="hr-HR"/>
              </w:rPr>
            </w:pPr>
          </w:p>
        </w:tc>
        <w:tc>
          <w:tcPr>
            <w:tcW w:w="980" w:type="pct"/>
            <w:shd w:val="clear" w:color="auto" w:fill="auto"/>
            <w:vAlign w:val="center"/>
          </w:tcPr>
          <w:p w14:paraId="2BDF84A1" w14:textId="77777777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lang w:val="hr-HR"/>
              </w:rPr>
              <w:t>Nepravilnosti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38EFD17B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63442FFA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12" w:type="pct"/>
            <w:shd w:val="clear" w:color="auto" w:fill="auto"/>
            <w:vAlign w:val="center"/>
          </w:tcPr>
          <w:p w14:paraId="49F170EC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</w:t>
            </w:r>
          </w:p>
        </w:tc>
        <w:tc>
          <w:tcPr>
            <w:tcW w:w="184" w:type="pct"/>
            <w:shd w:val="clear" w:color="auto" w:fill="auto"/>
            <w:vAlign w:val="center"/>
          </w:tcPr>
          <w:p w14:paraId="4E85E52D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1" w:type="pct"/>
            <w:vAlign w:val="center"/>
          </w:tcPr>
          <w:p w14:paraId="01B5C837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84" w:type="pct"/>
            <w:vAlign w:val="center"/>
          </w:tcPr>
          <w:p w14:paraId="35CEA9CB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82" w:type="pct"/>
            <w:vAlign w:val="center"/>
          </w:tcPr>
          <w:p w14:paraId="545492FC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</w:t>
            </w:r>
          </w:p>
        </w:tc>
        <w:tc>
          <w:tcPr>
            <w:tcW w:w="408" w:type="pct"/>
            <w:vAlign w:val="center"/>
          </w:tcPr>
          <w:p w14:paraId="4B97ADE7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91" w:type="pct"/>
            <w:vMerge/>
            <w:shd w:val="clear" w:color="auto" w:fill="auto"/>
            <w:vAlign w:val="center"/>
          </w:tcPr>
          <w:p w14:paraId="14F76763" w14:textId="77777777" w:rsidR="00344050" w:rsidRPr="00441E95" w:rsidRDefault="00344050" w:rsidP="00EA6306">
            <w:pPr>
              <w:pStyle w:val="Arial105ptbefore"/>
              <w:numPr>
                <w:ilvl w:val="0"/>
                <w:numId w:val="5"/>
              </w:numPr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344050" w:rsidRPr="00441E95" w14:paraId="6C28A10A" w14:textId="77777777" w:rsidTr="00F72064">
        <w:trPr>
          <w:jc w:val="center"/>
        </w:trPr>
        <w:tc>
          <w:tcPr>
            <w:tcW w:w="387" w:type="pct"/>
            <w:shd w:val="clear" w:color="auto" w:fill="D9D9D9" w:themeFill="background1" w:themeFillShade="D9"/>
            <w:vAlign w:val="center"/>
          </w:tcPr>
          <w:p w14:paraId="04711A2E" w14:textId="4F15A4AE" w:rsidR="00344050" w:rsidRPr="00441E95" w:rsidRDefault="00B60C78" w:rsidP="00F72064">
            <w:pPr>
              <w:pStyle w:val="Arial105ptbefore"/>
              <w:spacing w:before="0"/>
              <w:rPr>
                <w:rFonts w:ascii="Times New Roman" w:hAnsi="Times New Roman"/>
                <w:b/>
                <w:noProof w:val="0"/>
                <w:sz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lang w:val="hr-HR"/>
              </w:rPr>
              <w:t>7.11.</w:t>
            </w:r>
          </w:p>
        </w:tc>
        <w:tc>
          <w:tcPr>
            <w:tcW w:w="2822" w:type="pct"/>
            <w:gridSpan w:val="9"/>
            <w:shd w:val="clear" w:color="auto" w:fill="D9D9D9" w:themeFill="background1" w:themeFillShade="D9"/>
            <w:vAlign w:val="center"/>
          </w:tcPr>
          <w:p w14:paraId="0205FCB4" w14:textId="2EEACBB0" w:rsidR="00344050" w:rsidRPr="00441E95" w:rsidRDefault="00E01B2C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lang w:val="hr-HR"/>
              </w:rPr>
            </w:pPr>
            <w:r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Zaključivanje</w:t>
            </w: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 xml:space="preserve"> </w:t>
            </w:r>
            <w:r w:rsidR="00344050"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FI</w:t>
            </w:r>
            <w:r w:rsidR="002B4EDF"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-ja</w:t>
            </w:r>
          </w:p>
        </w:tc>
        <w:tc>
          <w:tcPr>
            <w:tcW w:w="1791" w:type="pct"/>
            <w:vMerge w:val="restart"/>
            <w:shd w:val="clear" w:color="auto" w:fill="auto"/>
            <w:vAlign w:val="center"/>
          </w:tcPr>
          <w:p w14:paraId="3ABC3C63" w14:textId="77777777" w:rsidR="00344050" w:rsidRPr="00441E95" w:rsidRDefault="00344050" w:rsidP="00EA6306">
            <w:pPr>
              <w:pStyle w:val="Arial105ptbefore"/>
              <w:numPr>
                <w:ilvl w:val="0"/>
                <w:numId w:val="5"/>
              </w:numPr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izlazne politike SoF-a</w:t>
            </w:r>
          </w:p>
          <w:p w14:paraId="6265883E" w14:textId="23A2194B" w:rsidR="00344050" w:rsidRPr="00441E95" w:rsidRDefault="00344050" w:rsidP="00EA6306">
            <w:pPr>
              <w:pStyle w:val="Arial105ptbefore"/>
              <w:numPr>
                <w:ilvl w:val="0"/>
                <w:numId w:val="5"/>
              </w:numPr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dokaz o </w:t>
            </w:r>
            <w:r w:rsidR="00FC376B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transakcijama s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namjenskih računa</w:t>
            </w:r>
            <w:r w:rsidR="00FC376B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svih uključenih tijela </w:t>
            </w:r>
            <w:r w:rsidR="00E503FD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do okončanja postupka zaključivanja FI-ja</w:t>
            </w:r>
          </w:p>
        </w:tc>
      </w:tr>
      <w:tr w:rsidR="00E26341" w:rsidRPr="00441E95" w14:paraId="2A16F021" w14:textId="77777777" w:rsidTr="00F72064">
        <w:trPr>
          <w:jc w:val="center"/>
        </w:trPr>
        <w:tc>
          <w:tcPr>
            <w:tcW w:w="387" w:type="pct"/>
            <w:shd w:val="clear" w:color="auto" w:fill="auto"/>
            <w:vAlign w:val="center"/>
          </w:tcPr>
          <w:p w14:paraId="6DB6F9C3" w14:textId="77777777" w:rsidR="00344050" w:rsidRPr="00441E95" w:rsidRDefault="00344050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lang w:val="hr-HR"/>
              </w:rPr>
            </w:pPr>
          </w:p>
        </w:tc>
        <w:tc>
          <w:tcPr>
            <w:tcW w:w="980" w:type="pct"/>
            <w:shd w:val="clear" w:color="auto" w:fill="auto"/>
            <w:vAlign w:val="center"/>
          </w:tcPr>
          <w:p w14:paraId="1F9894DE" w14:textId="1CB125A5" w:rsidR="00344050" w:rsidRPr="00441E95" w:rsidRDefault="00E01B2C" w:rsidP="00F72064">
            <w:pPr>
              <w:pStyle w:val="Arial105ptbefore"/>
              <w:spacing w:before="0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Zaključivanje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 xml:space="preserve"> </w:t>
            </w:r>
            <w:r w:rsidR="00344050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FI</w:t>
            </w:r>
            <w:r w:rsidR="002B4EDF"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-ja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3B93D932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R</w:t>
            </w:r>
          </w:p>
        </w:tc>
        <w:tc>
          <w:tcPr>
            <w:tcW w:w="189" w:type="pct"/>
            <w:shd w:val="clear" w:color="auto" w:fill="auto"/>
            <w:vAlign w:val="center"/>
          </w:tcPr>
          <w:p w14:paraId="3200371F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(C)</w:t>
            </w:r>
          </w:p>
        </w:tc>
        <w:tc>
          <w:tcPr>
            <w:tcW w:w="212" w:type="pct"/>
            <w:shd w:val="clear" w:color="auto" w:fill="auto"/>
            <w:vAlign w:val="center"/>
          </w:tcPr>
          <w:p w14:paraId="4D4F5F93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C</w:t>
            </w:r>
          </w:p>
        </w:tc>
        <w:tc>
          <w:tcPr>
            <w:tcW w:w="184" w:type="pct"/>
            <w:shd w:val="clear" w:color="auto" w:fill="auto"/>
            <w:vAlign w:val="center"/>
          </w:tcPr>
          <w:p w14:paraId="791276E5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1" w:type="pct"/>
            <w:vAlign w:val="center"/>
          </w:tcPr>
          <w:p w14:paraId="54682FFE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I</w:t>
            </w:r>
          </w:p>
        </w:tc>
        <w:tc>
          <w:tcPr>
            <w:tcW w:w="184" w:type="pct"/>
            <w:vAlign w:val="center"/>
          </w:tcPr>
          <w:p w14:paraId="3C060667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282" w:type="pct"/>
            <w:vAlign w:val="center"/>
          </w:tcPr>
          <w:p w14:paraId="4E30832C" w14:textId="52FDE4C9" w:rsidR="00344050" w:rsidRPr="005C369E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2"/>
                <w:szCs w:val="24"/>
                <w:lang w:val="hr-HR"/>
              </w:rPr>
            </w:pPr>
            <w:r w:rsidRPr="005C369E">
              <w:rPr>
                <w:rFonts w:ascii="Times New Roman" w:hAnsi="Times New Roman"/>
                <w:noProof w:val="0"/>
                <w:sz w:val="22"/>
                <w:szCs w:val="24"/>
                <w:lang w:val="hr-HR"/>
              </w:rPr>
              <w:t>(C/R</w:t>
            </w:r>
            <w:r w:rsidR="005C369E" w:rsidRPr="005C369E">
              <w:rPr>
                <w:rFonts w:ascii="Times New Roman" w:hAnsi="Times New Roman"/>
                <w:noProof w:val="0"/>
                <w:sz w:val="22"/>
                <w:szCs w:val="24"/>
                <w:lang w:val="hr-HR"/>
              </w:rPr>
              <w:t>)</w:t>
            </w:r>
            <w:r w:rsidRPr="005C369E">
              <w:rPr>
                <w:rFonts w:ascii="Times New Roman" w:hAnsi="Times New Roman"/>
                <w:noProof w:val="0"/>
                <w:sz w:val="22"/>
                <w:szCs w:val="24"/>
                <w:lang w:val="hr-HR"/>
              </w:rPr>
              <w:t>, I</w:t>
            </w:r>
          </w:p>
        </w:tc>
        <w:tc>
          <w:tcPr>
            <w:tcW w:w="408" w:type="pct"/>
            <w:vAlign w:val="center"/>
          </w:tcPr>
          <w:p w14:paraId="3624FC16" w14:textId="77777777" w:rsidR="00344050" w:rsidRPr="00441E95" w:rsidRDefault="00344050" w:rsidP="00F72064">
            <w:pPr>
              <w:pStyle w:val="Arial105ptbefore"/>
              <w:spacing w:before="0"/>
              <w:jc w:val="center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1791" w:type="pct"/>
            <w:vMerge/>
            <w:shd w:val="clear" w:color="auto" w:fill="auto"/>
            <w:vAlign w:val="center"/>
          </w:tcPr>
          <w:p w14:paraId="43E7AE4F" w14:textId="77777777" w:rsidR="00344050" w:rsidRPr="00441E95" w:rsidRDefault="00344050" w:rsidP="00EA6306">
            <w:pPr>
              <w:pStyle w:val="Arial105ptbefore"/>
              <w:numPr>
                <w:ilvl w:val="0"/>
                <w:numId w:val="5"/>
              </w:numPr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</w:tbl>
    <w:p w14:paraId="202E633C" w14:textId="713ED58C" w:rsidR="00A67E45" w:rsidRPr="00441E95" w:rsidRDefault="00971054" w:rsidP="00E503FD">
      <w:pPr>
        <w:tabs>
          <w:tab w:val="clear" w:pos="2160"/>
          <w:tab w:val="left" w:pos="3460"/>
        </w:tabs>
        <w:ind w:left="0" w:firstLine="0"/>
        <w:rPr>
          <w:rFonts w:ascii="Times New Roman" w:hAnsi="Times New Roman"/>
          <w:noProof w:val="0"/>
          <w:sz w:val="24"/>
        </w:rPr>
        <w:sectPr w:rsidR="00A67E45" w:rsidRPr="00441E95" w:rsidSect="008445DA">
          <w:pgSz w:w="16838" w:h="11906" w:orient="landscape" w:code="9"/>
          <w:pgMar w:top="2552" w:right="1440" w:bottom="1440" w:left="1440" w:header="284" w:footer="709" w:gutter="0"/>
          <w:cols w:space="708"/>
          <w:docGrid w:linePitch="360"/>
        </w:sectPr>
      </w:pPr>
      <w:r>
        <w:rPr>
          <w:noProof w:val="0"/>
        </w:rPr>
        <w:lastRenderedPageBreak/>
        <w:tab/>
      </w:r>
    </w:p>
    <w:p w14:paraId="2EA1A640" w14:textId="77777777" w:rsidR="00A67E45" w:rsidRPr="00441E95" w:rsidRDefault="00A67E45" w:rsidP="001A2AFF">
      <w:pPr>
        <w:pStyle w:val="Arial105ptbefore"/>
        <w:spacing w:before="0"/>
        <w:jc w:val="both"/>
        <w:rPr>
          <w:rFonts w:ascii="Times New Roman" w:hAnsi="Times New Roman"/>
          <w:noProof w:val="0"/>
          <w:sz w:val="24"/>
          <w:szCs w:val="24"/>
          <w:lang w:val="hr-HR"/>
        </w:rPr>
      </w:pPr>
    </w:p>
    <w:p w14:paraId="0A73BA99" w14:textId="77777777" w:rsidR="00B61BEC" w:rsidRPr="00441E95" w:rsidRDefault="00B61BEC" w:rsidP="001A2AFF">
      <w:pPr>
        <w:ind w:left="0" w:firstLine="0"/>
        <w:rPr>
          <w:rFonts w:ascii="Times New Roman" w:hAnsi="Times New Roman"/>
          <w:noProof w:val="0"/>
          <w:sz w:val="24"/>
        </w:rPr>
      </w:pPr>
      <w:r w:rsidRPr="00441E95">
        <w:rPr>
          <w:rFonts w:ascii="Times New Roman" w:hAnsi="Times New Roman"/>
          <w:noProof w:val="0"/>
          <w:sz w:val="24"/>
        </w:rPr>
        <w:t xml:space="preserve">                              Pojašnjenje matrične „RACI” tablice:</w:t>
      </w:r>
    </w:p>
    <w:p w14:paraId="14CA2ECA" w14:textId="12935698" w:rsidR="00B61BEC" w:rsidRPr="00441E95" w:rsidRDefault="00B61BEC" w:rsidP="001A2AFF">
      <w:pPr>
        <w:ind w:left="1800" w:firstLine="0"/>
        <w:rPr>
          <w:rFonts w:ascii="Times New Roman" w:hAnsi="Times New Roman"/>
          <w:noProof w:val="0"/>
          <w:sz w:val="24"/>
        </w:rPr>
      </w:pPr>
      <w:r w:rsidRPr="00441E95">
        <w:rPr>
          <w:rFonts w:ascii="Times New Roman" w:hAnsi="Times New Roman"/>
          <w:b/>
          <w:noProof w:val="0"/>
          <w:sz w:val="24"/>
        </w:rPr>
        <w:t>R</w:t>
      </w:r>
      <w:r w:rsidR="00F72064" w:rsidRPr="00441E95">
        <w:rPr>
          <w:rFonts w:ascii="Times New Roman" w:hAnsi="Times New Roman"/>
          <w:b/>
          <w:noProof w:val="0"/>
          <w:sz w:val="24"/>
        </w:rPr>
        <w:t xml:space="preserve"> </w:t>
      </w:r>
      <w:r w:rsidRPr="00441E95">
        <w:rPr>
          <w:rFonts w:ascii="Times New Roman" w:hAnsi="Times New Roman"/>
          <w:b/>
          <w:noProof w:val="0"/>
          <w:sz w:val="24"/>
        </w:rPr>
        <w:t>-</w:t>
      </w:r>
      <w:r w:rsidRPr="00441E95">
        <w:rPr>
          <w:rFonts w:ascii="Times New Roman" w:hAnsi="Times New Roman"/>
          <w:noProof w:val="0"/>
          <w:sz w:val="24"/>
        </w:rPr>
        <w:t xml:space="preserve"> </w:t>
      </w:r>
      <w:r w:rsidRPr="00441E95">
        <w:rPr>
          <w:rFonts w:ascii="Times New Roman" w:hAnsi="Times New Roman"/>
          <w:i/>
          <w:noProof w:val="0"/>
          <w:sz w:val="24"/>
        </w:rPr>
        <w:t>responsible</w:t>
      </w:r>
      <w:r w:rsidRPr="00441E95">
        <w:rPr>
          <w:rFonts w:ascii="Times New Roman" w:hAnsi="Times New Roman"/>
          <w:noProof w:val="0"/>
          <w:sz w:val="24"/>
        </w:rPr>
        <w:t xml:space="preserve">  (</w:t>
      </w:r>
      <w:r w:rsidRPr="00441E95">
        <w:rPr>
          <w:rFonts w:ascii="Times New Roman" w:hAnsi="Times New Roman"/>
          <w:i/>
          <w:noProof w:val="0"/>
          <w:sz w:val="24"/>
        </w:rPr>
        <w:t>odgovoran</w:t>
      </w:r>
      <w:r w:rsidRPr="00441E95">
        <w:rPr>
          <w:rFonts w:ascii="Times New Roman" w:hAnsi="Times New Roman"/>
          <w:noProof w:val="0"/>
          <w:sz w:val="24"/>
        </w:rPr>
        <w:t>) – odgovoran za obavljanje posla i postizanje neposrednih rezultata aktivnosti te jamč</w:t>
      </w:r>
      <w:r w:rsidR="008567EF" w:rsidRPr="00441E95">
        <w:rPr>
          <w:rFonts w:ascii="Times New Roman" w:hAnsi="Times New Roman"/>
          <w:noProof w:val="0"/>
          <w:sz w:val="24"/>
        </w:rPr>
        <w:t>i</w:t>
      </w:r>
      <w:r w:rsidRPr="00441E95">
        <w:rPr>
          <w:rFonts w:ascii="Times New Roman" w:hAnsi="Times New Roman"/>
          <w:noProof w:val="0"/>
          <w:sz w:val="24"/>
        </w:rPr>
        <w:t xml:space="preserve"> da će se aktivnost obaviti, a rezultati poslati odobravatelju. </w:t>
      </w:r>
    </w:p>
    <w:p w14:paraId="2B71BF7F" w14:textId="2D6721EA" w:rsidR="00B61BEC" w:rsidRPr="00441E95" w:rsidRDefault="00B61BEC" w:rsidP="001A2AFF">
      <w:pPr>
        <w:rPr>
          <w:rFonts w:ascii="Times New Roman" w:hAnsi="Times New Roman"/>
          <w:noProof w:val="0"/>
          <w:sz w:val="24"/>
        </w:rPr>
      </w:pPr>
      <w:r w:rsidRPr="00441E95">
        <w:rPr>
          <w:rFonts w:ascii="Times New Roman" w:hAnsi="Times New Roman"/>
          <w:b/>
          <w:noProof w:val="0"/>
          <w:sz w:val="24"/>
        </w:rPr>
        <w:t>A</w:t>
      </w:r>
      <w:r w:rsidR="00F72064" w:rsidRPr="00441E95">
        <w:rPr>
          <w:rFonts w:ascii="Times New Roman" w:hAnsi="Times New Roman"/>
          <w:b/>
          <w:noProof w:val="0"/>
          <w:sz w:val="24"/>
        </w:rPr>
        <w:t xml:space="preserve"> </w:t>
      </w:r>
      <w:r w:rsidRPr="00441E95">
        <w:rPr>
          <w:rFonts w:ascii="Times New Roman" w:hAnsi="Times New Roman"/>
          <w:b/>
          <w:noProof w:val="0"/>
          <w:sz w:val="24"/>
        </w:rPr>
        <w:t>-</w:t>
      </w:r>
      <w:r w:rsidRPr="00441E95">
        <w:rPr>
          <w:rFonts w:ascii="Times New Roman" w:hAnsi="Times New Roman"/>
          <w:noProof w:val="0"/>
          <w:sz w:val="24"/>
        </w:rPr>
        <w:t xml:space="preserve"> </w:t>
      </w:r>
      <w:r w:rsidRPr="00441E95">
        <w:rPr>
          <w:rFonts w:ascii="Times New Roman" w:hAnsi="Times New Roman"/>
          <w:i/>
          <w:noProof w:val="0"/>
          <w:sz w:val="24"/>
        </w:rPr>
        <w:t>approver (odobravatelj</w:t>
      </w:r>
      <w:r w:rsidRPr="00441E95">
        <w:rPr>
          <w:rFonts w:ascii="Times New Roman" w:hAnsi="Times New Roman"/>
          <w:noProof w:val="0"/>
          <w:sz w:val="24"/>
        </w:rPr>
        <w:t xml:space="preserve">) - donosi odluke i odobrava neposredne rezultate aktivnosti. </w:t>
      </w:r>
    </w:p>
    <w:p w14:paraId="45CC22E2" w14:textId="688CD184" w:rsidR="00B61BEC" w:rsidRPr="00441E95" w:rsidRDefault="00B61BEC" w:rsidP="001A2AFF">
      <w:pPr>
        <w:rPr>
          <w:rFonts w:ascii="Times New Roman" w:hAnsi="Times New Roman"/>
          <w:noProof w:val="0"/>
          <w:sz w:val="24"/>
        </w:rPr>
      </w:pPr>
      <w:r w:rsidRPr="00441E95">
        <w:rPr>
          <w:rFonts w:ascii="Times New Roman" w:hAnsi="Times New Roman"/>
          <w:b/>
          <w:noProof w:val="0"/>
          <w:sz w:val="24"/>
        </w:rPr>
        <w:t>C</w:t>
      </w:r>
      <w:r w:rsidR="00F72064" w:rsidRPr="00441E95">
        <w:rPr>
          <w:rFonts w:ascii="Times New Roman" w:hAnsi="Times New Roman"/>
          <w:b/>
          <w:noProof w:val="0"/>
          <w:sz w:val="24"/>
        </w:rPr>
        <w:t xml:space="preserve"> </w:t>
      </w:r>
      <w:r w:rsidRPr="00441E95">
        <w:rPr>
          <w:rFonts w:ascii="Times New Roman" w:hAnsi="Times New Roman"/>
          <w:b/>
          <w:noProof w:val="0"/>
          <w:sz w:val="24"/>
        </w:rPr>
        <w:t>-</w:t>
      </w:r>
      <w:r w:rsidRPr="00441E95">
        <w:rPr>
          <w:rFonts w:ascii="Times New Roman" w:hAnsi="Times New Roman"/>
          <w:noProof w:val="0"/>
          <w:sz w:val="24"/>
        </w:rPr>
        <w:t xml:space="preserve"> </w:t>
      </w:r>
      <w:r w:rsidRPr="00441E95">
        <w:rPr>
          <w:rFonts w:ascii="Times New Roman" w:hAnsi="Times New Roman"/>
          <w:i/>
          <w:noProof w:val="0"/>
          <w:sz w:val="24"/>
        </w:rPr>
        <w:t>contributor</w:t>
      </w:r>
      <w:r w:rsidRPr="00441E95">
        <w:rPr>
          <w:rFonts w:ascii="Times New Roman" w:hAnsi="Times New Roman"/>
          <w:noProof w:val="0"/>
          <w:sz w:val="24"/>
        </w:rPr>
        <w:t xml:space="preserve"> (</w:t>
      </w:r>
      <w:r w:rsidRPr="00441E95">
        <w:rPr>
          <w:rFonts w:ascii="Times New Roman" w:hAnsi="Times New Roman"/>
          <w:i/>
          <w:noProof w:val="0"/>
          <w:sz w:val="24"/>
        </w:rPr>
        <w:t xml:space="preserve">pridonositelj)- </w:t>
      </w:r>
      <w:r w:rsidRPr="00441E95">
        <w:rPr>
          <w:rFonts w:ascii="Times New Roman" w:hAnsi="Times New Roman"/>
          <w:noProof w:val="0"/>
          <w:sz w:val="24"/>
        </w:rPr>
        <w:t xml:space="preserve">suradnici ili stručnjaci na predmetnom području koji mogu doprinijeti aktivnosti i s kojima postoji dvosmjerna komunikacija. </w:t>
      </w:r>
    </w:p>
    <w:p w14:paraId="43631756" w14:textId="7D4EA80A" w:rsidR="00B61BEC" w:rsidRPr="00441E95" w:rsidRDefault="00B61BEC" w:rsidP="001A2AFF">
      <w:pPr>
        <w:rPr>
          <w:rFonts w:ascii="Times New Roman" w:hAnsi="Times New Roman"/>
          <w:noProof w:val="0"/>
          <w:sz w:val="24"/>
        </w:rPr>
      </w:pPr>
      <w:r w:rsidRPr="00441E95">
        <w:rPr>
          <w:rFonts w:ascii="Times New Roman" w:hAnsi="Times New Roman"/>
          <w:b/>
          <w:noProof w:val="0"/>
          <w:sz w:val="24"/>
        </w:rPr>
        <w:t>I</w:t>
      </w:r>
      <w:r w:rsidR="00F72064" w:rsidRPr="00441E95">
        <w:rPr>
          <w:rFonts w:ascii="Times New Roman" w:hAnsi="Times New Roman"/>
          <w:b/>
          <w:noProof w:val="0"/>
          <w:sz w:val="24"/>
        </w:rPr>
        <w:t xml:space="preserve"> </w:t>
      </w:r>
      <w:r w:rsidRPr="00441E95">
        <w:rPr>
          <w:rFonts w:ascii="Times New Roman" w:hAnsi="Times New Roman"/>
          <w:b/>
          <w:noProof w:val="0"/>
          <w:sz w:val="24"/>
        </w:rPr>
        <w:t>-</w:t>
      </w:r>
      <w:r w:rsidRPr="00441E95">
        <w:rPr>
          <w:rFonts w:ascii="Times New Roman" w:hAnsi="Times New Roman"/>
          <w:noProof w:val="0"/>
          <w:sz w:val="24"/>
        </w:rPr>
        <w:t xml:space="preserve"> </w:t>
      </w:r>
      <w:r w:rsidRPr="00441E95">
        <w:rPr>
          <w:rFonts w:ascii="Times New Roman" w:hAnsi="Times New Roman"/>
          <w:i/>
          <w:noProof w:val="0"/>
          <w:sz w:val="24"/>
        </w:rPr>
        <w:t xml:space="preserve">informed (obaviješten)- </w:t>
      </w:r>
      <w:r w:rsidRPr="00441E95">
        <w:rPr>
          <w:rFonts w:ascii="Times New Roman" w:hAnsi="Times New Roman"/>
          <w:noProof w:val="0"/>
          <w:sz w:val="24"/>
        </w:rPr>
        <w:t>informirani o tijeku napretka aktivnosti i s kojima postoji jednosmjerna komunikacija.</w:t>
      </w:r>
    </w:p>
    <w:p w14:paraId="4B8312E9" w14:textId="77777777" w:rsidR="00B61BEC" w:rsidRPr="00441E95" w:rsidRDefault="00B61BEC" w:rsidP="001A2AFF">
      <w:pPr>
        <w:pStyle w:val="Arial105ptbefore"/>
        <w:spacing w:before="0"/>
        <w:jc w:val="both"/>
        <w:rPr>
          <w:rFonts w:ascii="Times New Roman" w:hAnsi="Times New Roman"/>
          <w:noProof w:val="0"/>
          <w:sz w:val="24"/>
          <w:szCs w:val="24"/>
          <w:lang w:val="hr-HR"/>
        </w:rPr>
        <w:sectPr w:rsidR="00B61BEC" w:rsidRPr="00441E95" w:rsidSect="002C51CD">
          <w:pgSz w:w="16838" w:h="11906" w:orient="landscape" w:code="9"/>
          <w:pgMar w:top="851" w:right="1440" w:bottom="1440" w:left="1440" w:header="284" w:footer="709" w:gutter="0"/>
          <w:cols w:space="708"/>
          <w:docGrid w:linePitch="360"/>
        </w:sectPr>
      </w:pPr>
    </w:p>
    <w:p w14:paraId="7E795839" w14:textId="77777777" w:rsidR="003D1F19" w:rsidRPr="00441E95" w:rsidRDefault="005610D9" w:rsidP="001A2AFF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0"/>
        <w:jc w:val="both"/>
        <w:rPr>
          <w:rFonts w:ascii="Times New Roman" w:hAnsi="Times New Roman" w:cs="Times New Roman"/>
          <w:noProof w:val="0"/>
          <w:sz w:val="24"/>
          <w:szCs w:val="24"/>
        </w:rPr>
      </w:pPr>
      <w:bookmarkStart w:id="32" w:name="_Toc447899781"/>
      <w:bookmarkStart w:id="33" w:name="_Toc3300639"/>
      <w:bookmarkStart w:id="34" w:name="_Toc3300678"/>
      <w:r w:rsidRPr="00441E95">
        <w:rPr>
          <w:rFonts w:ascii="Times New Roman" w:hAnsi="Times New Roman" w:cs="Times New Roman"/>
          <w:noProof w:val="0"/>
          <w:sz w:val="24"/>
          <w:szCs w:val="24"/>
        </w:rPr>
        <w:lastRenderedPageBreak/>
        <w:t>7</w:t>
      </w:r>
      <w:r w:rsidR="003D1F19" w:rsidRPr="00441E95">
        <w:rPr>
          <w:rFonts w:ascii="Times New Roman" w:hAnsi="Times New Roman" w:cs="Times New Roman"/>
          <w:noProof w:val="0"/>
          <w:sz w:val="24"/>
          <w:szCs w:val="24"/>
        </w:rPr>
        <w:t>.</w:t>
      </w:r>
      <w:r w:rsidR="00196629" w:rsidRPr="00441E95">
        <w:rPr>
          <w:rFonts w:ascii="Times New Roman" w:hAnsi="Times New Roman" w:cs="Times New Roman"/>
          <w:noProof w:val="0"/>
          <w:sz w:val="24"/>
          <w:szCs w:val="24"/>
        </w:rPr>
        <w:t xml:space="preserve"> </w:t>
      </w:r>
      <w:r w:rsidR="003D1F19" w:rsidRPr="00441E95">
        <w:rPr>
          <w:rFonts w:ascii="Times New Roman" w:hAnsi="Times New Roman" w:cs="Times New Roman"/>
          <w:noProof w:val="0"/>
          <w:sz w:val="24"/>
          <w:szCs w:val="24"/>
        </w:rPr>
        <w:t>P</w:t>
      </w:r>
      <w:r w:rsidR="00134F00" w:rsidRPr="00441E95">
        <w:rPr>
          <w:rFonts w:ascii="Times New Roman" w:hAnsi="Times New Roman" w:cs="Times New Roman"/>
          <w:noProof w:val="0"/>
          <w:sz w:val="24"/>
          <w:szCs w:val="24"/>
        </w:rPr>
        <w:t>ROCEDURE</w:t>
      </w:r>
      <w:bookmarkEnd w:id="32"/>
      <w:bookmarkEnd w:id="33"/>
      <w:bookmarkEnd w:id="34"/>
    </w:p>
    <w:p w14:paraId="103A6BE9" w14:textId="77777777" w:rsidR="003D1F19" w:rsidRPr="00441E95" w:rsidRDefault="003D1F19" w:rsidP="00B3027A">
      <w:pPr>
        <w:spacing w:before="0"/>
        <w:ind w:left="0" w:firstLine="0"/>
        <w:rPr>
          <w:rFonts w:ascii="Times New Roman" w:hAnsi="Times New Roman"/>
          <w:noProof w:val="0"/>
          <w:sz w:val="24"/>
        </w:rPr>
      </w:pPr>
    </w:p>
    <w:p w14:paraId="2C4A7E05" w14:textId="396DCD13" w:rsidR="000725B5" w:rsidRPr="00441E95" w:rsidRDefault="000725B5" w:rsidP="001A2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160"/>
        </w:tabs>
        <w:spacing w:before="0"/>
        <w:ind w:left="0" w:firstLine="0"/>
        <w:rPr>
          <w:rFonts w:ascii="Times New Roman" w:eastAsia="Calibri" w:hAnsi="Times New Roman"/>
          <w:b/>
          <w:noProof w:val="0"/>
          <w:sz w:val="24"/>
        </w:rPr>
      </w:pPr>
      <w:r w:rsidRPr="00441E95">
        <w:rPr>
          <w:rFonts w:ascii="Times New Roman" w:eastAsia="Calibri" w:hAnsi="Times New Roman"/>
          <w:b/>
          <w:noProof w:val="0"/>
          <w:sz w:val="24"/>
        </w:rPr>
        <w:t xml:space="preserve">7.1. </w:t>
      </w:r>
      <w:r w:rsidR="00001B20" w:rsidRPr="00441E95">
        <w:rPr>
          <w:rFonts w:ascii="Times New Roman" w:eastAsia="Calibri" w:hAnsi="Times New Roman"/>
          <w:b/>
          <w:noProof w:val="0"/>
          <w:sz w:val="24"/>
        </w:rPr>
        <w:t>Utvrđivanje potrebe pružanja financijske potpore putem FI</w:t>
      </w:r>
      <w:r w:rsidR="007F5717" w:rsidRPr="00441E95">
        <w:rPr>
          <w:rFonts w:ascii="Times New Roman" w:eastAsia="Calibri" w:hAnsi="Times New Roman"/>
          <w:b/>
          <w:noProof w:val="0"/>
          <w:sz w:val="24"/>
        </w:rPr>
        <w:t>-ja</w:t>
      </w:r>
    </w:p>
    <w:p w14:paraId="40D15E62" w14:textId="77777777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eastAsia="Calibri" w:hAnsi="Times New Roman"/>
          <w:b/>
          <w:noProof w:val="0"/>
          <w:sz w:val="24"/>
        </w:rPr>
      </w:pPr>
    </w:p>
    <w:p w14:paraId="3B1EA3E7" w14:textId="5FF47CE4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eastAsia="Calibri" w:hAnsi="Times New Roman"/>
          <w:noProof w:val="0"/>
          <w:sz w:val="24"/>
        </w:rPr>
        <w:t>Procjena potrebe</w:t>
      </w:r>
      <w:r w:rsidRPr="00441E95">
        <w:rPr>
          <w:rFonts w:ascii="Times New Roman" w:eastAsia="Calibri" w:hAnsi="Times New Roman"/>
          <w:b/>
          <w:noProof w:val="0"/>
          <w:sz w:val="24"/>
        </w:rPr>
        <w:t xml:space="preserve"> 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i opsega pružanja potpore putem </w:t>
      </w:r>
      <w:r w:rsidR="00BA60FA" w:rsidRPr="00441E95">
        <w:rPr>
          <w:rFonts w:ascii="Times New Roman" w:hAnsi="Times New Roman"/>
          <w:noProof w:val="0"/>
          <w:sz w:val="24"/>
          <w:lang w:eastAsia="hr-HR"/>
        </w:rPr>
        <w:t>FI-ja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izvršena je putem dvije </w:t>
      </w:r>
      <w:r w:rsidRPr="00441E95">
        <w:rPr>
          <w:rFonts w:ascii="Times New Roman" w:hAnsi="Times New Roman"/>
          <w:i/>
          <w:noProof w:val="0"/>
          <w:sz w:val="24"/>
          <w:lang w:eastAsia="hr-HR"/>
        </w:rPr>
        <w:t xml:space="preserve">ex ante </w:t>
      </w:r>
      <w:r w:rsidR="00706AF2">
        <w:rPr>
          <w:rFonts w:ascii="Times New Roman" w:hAnsi="Times New Roman"/>
          <w:noProof w:val="0"/>
          <w:sz w:val="24"/>
          <w:lang w:eastAsia="hr-HR"/>
        </w:rPr>
        <w:t>analize</w:t>
      </w:r>
      <w:r w:rsidR="00706AF2" w:rsidRPr="00441E95">
        <w:rPr>
          <w:rFonts w:ascii="Times New Roman" w:hAnsi="Times New Roman"/>
          <w:noProof w:val="0"/>
          <w:sz w:val="24"/>
          <w:lang w:eastAsia="hr-HR"/>
        </w:rPr>
        <w:t xml:space="preserve"> </w:t>
      </w:r>
      <w:r w:rsidRPr="00441E95">
        <w:rPr>
          <w:rFonts w:ascii="Times New Roman" w:hAnsi="Times New Roman"/>
          <w:noProof w:val="0"/>
          <w:sz w:val="24"/>
          <w:lang w:eastAsia="hr-HR"/>
        </w:rPr>
        <w:t>provedene u okviru dva projekta tehničke pomoći:</w:t>
      </w:r>
    </w:p>
    <w:p w14:paraId="2182A7A4" w14:textId="77777777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2C660670" w14:textId="4335C059" w:rsidR="000725B5" w:rsidRPr="00441E95" w:rsidRDefault="00196629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>Provedenom a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>nalizom „</w:t>
      </w:r>
      <w:r w:rsidRPr="00441E95">
        <w:rPr>
          <w:rFonts w:ascii="Times New Roman" w:hAnsi="Times New Roman"/>
          <w:i/>
          <w:noProof w:val="0"/>
          <w:sz w:val="24"/>
          <w:lang w:eastAsia="hr-HR"/>
        </w:rPr>
        <w:t xml:space="preserve">Financijski instrumenti: </w:t>
      </w:r>
      <w:r w:rsidR="000725B5" w:rsidRPr="00441E95">
        <w:rPr>
          <w:rFonts w:ascii="Times New Roman" w:hAnsi="Times New Roman"/>
          <w:i/>
          <w:noProof w:val="0"/>
          <w:sz w:val="24"/>
          <w:lang w:eastAsia="hr-HR"/>
        </w:rPr>
        <w:t>Poslovna konkurentnost ESIF 2014-2020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 xml:space="preserve">“ proučene su mogućnosti korištenja </w:t>
      </w:r>
      <w:r w:rsidR="00A56356" w:rsidRPr="00441E95">
        <w:rPr>
          <w:rFonts w:ascii="Times New Roman" w:hAnsi="Times New Roman"/>
          <w:noProof w:val="0"/>
          <w:sz w:val="24"/>
          <w:lang w:eastAsia="hr-HR"/>
        </w:rPr>
        <w:t>FI-</w:t>
      </w:r>
      <w:r w:rsidR="00CB5F08" w:rsidRPr="00441E95">
        <w:rPr>
          <w:rFonts w:ascii="Times New Roman" w:hAnsi="Times New Roman"/>
          <w:noProof w:val="0"/>
          <w:sz w:val="24"/>
          <w:lang w:eastAsia="hr-HR"/>
        </w:rPr>
        <w:t>jeva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 xml:space="preserve"> namijenjenih malom i srednjem poduzetništvu s težištem na inovativnost, stvaranje novih poduzeća te poslovne inkubatore (</w:t>
      </w:r>
      <w:r w:rsidR="00F32CE3" w:rsidRPr="00441E95">
        <w:rPr>
          <w:rFonts w:ascii="Times New Roman" w:hAnsi="Times New Roman"/>
          <w:noProof w:val="0"/>
          <w:sz w:val="24"/>
          <w:lang w:eastAsia="hr-HR"/>
        </w:rPr>
        <w:t>IP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 xml:space="preserve"> 3a).</w:t>
      </w:r>
    </w:p>
    <w:p w14:paraId="6111B194" w14:textId="77777777" w:rsidR="000725B5" w:rsidRPr="00441E95" w:rsidRDefault="000725B5" w:rsidP="001A2AFF">
      <w:pPr>
        <w:ind w:left="360"/>
        <w:contextualSpacing/>
        <w:rPr>
          <w:rFonts w:ascii="Times New Roman" w:hAnsi="Times New Roman"/>
          <w:noProof w:val="0"/>
          <w:sz w:val="24"/>
          <w:lang w:eastAsia="hr-HR"/>
        </w:rPr>
      </w:pPr>
    </w:p>
    <w:p w14:paraId="7ED6721F" w14:textId="0F0A8348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>Analizom „</w:t>
      </w:r>
      <w:r w:rsidRPr="00441E95">
        <w:rPr>
          <w:rFonts w:ascii="Times New Roman" w:hAnsi="Times New Roman"/>
          <w:i/>
          <w:noProof w:val="0"/>
          <w:sz w:val="24"/>
          <w:lang w:eastAsia="hr-HR"/>
        </w:rPr>
        <w:t xml:space="preserve">Preliminarna </w:t>
      </w:r>
      <w:r w:rsidR="00A56356" w:rsidRPr="00441E95">
        <w:rPr>
          <w:rFonts w:ascii="Times New Roman" w:hAnsi="Times New Roman"/>
          <w:i/>
          <w:noProof w:val="0"/>
          <w:sz w:val="24"/>
          <w:lang w:eastAsia="hr-HR"/>
        </w:rPr>
        <w:t xml:space="preserve">analiza </w:t>
      </w:r>
      <w:r w:rsidRPr="00441E95">
        <w:rPr>
          <w:rFonts w:ascii="Times New Roman" w:hAnsi="Times New Roman"/>
          <w:i/>
          <w:noProof w:val="0"/>
          <w:sz w:val="24"/>
          <w:lang w:eastAsia="hr-HR"/>
        </w:rPr>
        <w:t>mogućnosti korištenja sredstava iz ESIF-a u RH: Studija u svrhu podrške ex ante procjene korištenja EU resursa u programskom razdoblju 2014.-2020.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“  sveobuhvatno su se razmotrile mogućnosti korištenja </w:t>
      </w:r>
      <w:r w:rsidR="00A56356" w:rsidRPr="00441E95">
        <w:rPr>
          <w:rFonts w:ascii="Times New Roman" w:hAnsi="Times New Roman"/>
          <w:noProof w:val="0"/>
          <w:sz w:val="24"/>
          <w:lang w:eastAsia="hr-HR"/>
        </w:rPr>
        <w:t>FI-j</w:t>
      </w:r>
      <w:r w:rsidR="00CB5F08" w:rsidRPr="00441E95">
        <w:rPr>
          <w:rFonts w:ascii="Times New Roman" w:hAnsi="Times New Roman"/>
          <w:noProof w:val="0"/>
          <w:sz w:val="24"/>
          <w:lang w:eastAsia="hr-HR"/>
        </w:rPr>
        <w:t>eva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koje su predviđene OP-om, uz dopuštanje mogućnosti proširenja njihovog korištenja. Inicijalno se razmatralo korištenje FI</w:t>
      </w:r>
      <w:r w:rsidR="00A56356" w:rsidRPr="00441E95">
        <w:rPr>
          <w:rFonts w:ascii="Times New Roman" w:hAnsi="Times New Roman"/>
          <w:noProof w:val="0"/>
          <w:sz w:val="24"/>
          <w:lang w:eastAsia="hr-HR"/>
        </w:rPr>
        <w:t>-j</w:t>
      </w:r>
      <w:r w:rsidR="00B9096D">
        <w:rPr>
          <w:rFonts w:ascii="Times New Roman" w:hAnsi="Times New Roman"/>
          <w:noProof w:val="0"/>
          <w:sz w:val="24"/>
          <w:lang w:eastAsia="hr-HR"/>
        </w:rPr>
        <w:t>eva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s obzirom na </w:t>
      </w:r>
      <w:r w:rsidR="00F32CE3" w:rsidRPr="00441E95">
        <w:rPr>
          <w:rFonts w:ascii="Times New Roman" w:hAnsi="Times New Roman"/>
          <w:noProof w:val="0"/>
          <w:sz w:val="24"/>
          <w:lang w:eastAsia="hr-HR"/>
        </w:rPr>
        <w:t>IP-ove</w:t>
      </w:r>
      <w:r w:rsidRPr="00441E95">
        <w:rPr>
          <w:rFonts w:ascii="Times New Roman" w:hAnsi="Times New Roman"/>
          <w:noProof w:val="0"/>
          <w:sz w:val="24"/>
          <w:lang w:eastAsia="hr-HR"/>
        </w:rPr>
        <w:t>: istraživanje, razvoj i inovacije (1b); energetska učinkovitost i korištenje obnovljivih izvora energije u javnim i privatnim zgradama, te u industrijskim procesima (4b, 4c); razvoj održivog urbanog i teritorijalnog razvoja putem infrastrukture, programa obnove i regeneracije (6); održivi urbani transport i ostale urbane investicije (7i, 7ii)</w:t>
      </w:r>
      <w:r w:rsidR="00706AF2">
        <w:rPr>
          <w:rFonts w:ascii="Times New Roman" w:hAnsi="Times New Roman"/>
          <w:noProof w:val="0"/>
          <w:sz w:val="24"/>
          <w:lang w:eastAsia="hr-HR"/>
        </w:rPr>
        <w:t>,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mehanizam Integriranog teritorijalnog ulaganja, te javno-privatnih ulaganja u tzv. zadnju milju širokopojasnih komunikacijskih mreža (2a), i to na sveobuhvatni način. </w:t>
      </w:r>
    </w:p>
    <w:p w14:paraId="03E51D08" w14:textId="77777777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07976280" w14:textId="22D5313E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 xml:space="preserve">Obje analize izrađene su sukladno propisanoj metodologiji za izradu </w:t>
      </w:r>
      <w:r w:rsidRPr="00441E95">
        <w:rPr>
          <w:rFonts w:ascii="Times New Roman" w:hAnsi="Times New Roman"/>
          <w:i/>
          <w:noProof w:val="0"/>
          <w:sz w:val="24"/>
          <w:lang w:eastAsia="hr-HR"/>
        </w:rPr>
        <w:t>ex ante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</w:t>
      </w:r>
      <w:r w:rsidR="00706AF2">
        <w:rPr>
          <w:rFonts w:ascii="Times New Roman" w:hAnsi="Times New Roman"/>
          <w:noProof w:val="0"/>
          <w:sz w:val="24"/>
          <w:lang w:eastAsia="hr-HR"/>
        </w:rPr>
        <w:t>analize</w:t>
      </w:r>
      <w:r w:rsidR="00706AF2" w:rsidRPr="00441E95">
        <w:rPr>
          <w:rFonts w:ascii="Times New Roman" w:hAnsi="Times New Roman"/>
          <w:noProof w:val="0"/>
          <w:sz w:val="24"/>
          <w:lang w:eastAsia="hr-HR"/>
        </w:rPr>
        <w:t xml:space="preserve"> 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o korištenju </w:t>
      </w:r>
      <w:r w:rsidR="00337646" w:rsidRPr="00441E95">
        <w:rPr>
          <w:rFonts w:ascii="Times New Roman" w:hAnsi="Times New Roman"/>
          <w:noProof w:val="0"/>
          <w:sz w:val="24"/>
          <w:lang w:eastAsia="hr-HR"/>
        </w:rPr>
        <w:t>FI-j</w:t>
      </w:r>
      <w:r w:rsidR="00B9096D">
        <w:rPr>
          <w:rFonts w:ascii="Times New Roman" w:hAnsi="Times New Roman"/>
          <w:noProof w:val="0"/>
          <w:sz w:val="24"/>
          <w:lang w:eastAsia="hr-HR"/>
        </w:rPr>
        <w:t>eva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u okviru OP-a sa svrhom da se, tamo gdje se pokaže potrebnim, dobije prijedlog prikladnih </w:t>
      </w:r>
      <w:r w:rsidR="00337646" w:rsidRPr="00441E95">
        <w:rPr>
          <w:rFonts w:ascii="Times New Roman" w:hAnsi="Times New Roman"/>
          <w:noProof w:val="0"/>
          <w:sz w:val="24"/>
          <w:lang w:eastAsia="hr-HR"/>
        </w:rPr>
        <w:t>FI-</w:t>
      </w:r>
      <w:r w:rsidR="006D2283" w:rsidRPr="00441E95">
        <w:rPr>
          <w:rFonts w:ascii="Times New Roman" w:hAnsi="Times New Roman"/>
          <w:noProof w:val="0"/>
          <w:sz w:val="24"/>
          <w:lang w:eastAsia="hr-HR"/>
        </w:rPr>
        <w:t>jeva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, odnosno pregled preliminarnih investicijskih strategija i financijskih proizvoda, kao i provedbenog sustava, za one </w:t>
      </w:r>
      <w:r w:rsidR="00F32CE3" w:rsidRPr="00441E95">
        <w:rPr>
          <w:rFonts w:ascii="Times New Roman" w:hAnsi="Times New Roman"/>
          <w:noProof w:val="0"/>
          <w:sz w:val="24"/>
          <w:lang w:eastAsia="hr-HR"/>
        </w:rPr>
        <w:t>IP-ove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gdje postoje odgovarajući uvjeti za provedbu odmah po dovršetku studije, odnosno da se u suprotnome</w:t>
      </w:r>
      <w:r w:rsidR="00706AF2">
        <w:rPr>
          <w:rFonts w:ascii="Times New Roman" w:hAnsi="Times New Roman"/>
          <w:noProof w:val="0"/>
          <w:sz w:val="24"/>
          <w:lang w:eastAsia="hr-HR"/>
        </w:rPr>
        <w:t>: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a) naznače područja, tj. </w:t>
      </w:r>
      <w:r w:rsidR="00F32CE3" w:rsidRPr="00441E95">
        <w:rPr>
          <w:rFonts w:ascii="Times New Roman" w:hAnsi="Times New Roman"/>
          <w:noProof w:val="0"/>
          <w:sz w:val="24"/>
          <w:lang w:eastAsia="hr-HR"/>
        </w:rPr>
        <w:t>IP-ovi</w:t>
      </w:r>
      <w:r w:rsidR="002A6512" w:rsidRPr="00441E95">
        <w:rPr>
          <w:rFonts w:ascii="Times New Roman" w:hAnsi="Times New Roman"/>
          <w:noProof w:val="0"/>
          <w:sz w:val="24"/>
          <w:lang w:eastAsia="hr-HR"/>
        </w:rPr>
        <w:t xml:space="preserve"> 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kod kojih je predviđeno korištenje </w:t>
      </w:r>
      <w:bookmarkStart w:id="35" w:name="_Hlk29469845"/>
      <w:r w:rsidR="00337646" w:rsidRPr="00441E95">
        <w:rPr>
          <w:rFonts w:ascii="Times New Roman" w:hAnsi="Times New Roman"/>
          <w:noProof w:val="0"/>
          <w:sz w:val="24"/>
          <w:lang w:eastAsia="hr-HR"/>
        </w:rPr>
        <w:t>FI-j</w:t>
      </w:r>
      <w:r w:rsidR="00B9096D">
        <w:rPr>
          <w:rFonts w:ascii="Times New Roman" w:hAnsi="Times New Roman"/>
          <w:noProof w:val="0"/>
          <w:sz w:val="24"/>
          <w:lang w:eastAsia="hr-HR"/>
        </w:rPr>
        <w:t>eva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</w:t>
      </w:r>
      <w:bookmarkEnd w:id="35"/>
      <w:r w:rsidRPr="00441E95">
        <w:rPr>
          <w:rFonts w:ascii="Times New Roman" w:hAnsi="Times New Roman"/>
          <w:noProof w:val="0"/>
          <w:sz w:val="24"/>
          <w:lang w:eastAsia="hr-HR"/>
        </w:rPr>
        <w:t xml:space="preserve">za koje je potrebno provesti dodatne analize koje će pružiti odgovarajuću podlogu za donošenje odluka o korištenju </w:t>
      </w:r>
      <w:r w:rsidR="00337646" w:rsidRPr="00441E95">
        <w:rPr>
          <w:rFonts w:ascii="Times New Roman" w:hAnsi="Times New Roman"/>
          <w:noProof w:val="0"/>
          <w:sz w:val="24"/>
          <w:lang w:eastAsia="hr-HR"/>
        </w:rPr>
        <w:t>FI-j</w:t>
      </w:r>
      <w:r w:rsidR="00B9096D">
        <w:rPr>
          <w:rFonts w:ascii="Times New Roman" w:hAnsi="Times New Roman"/>
          <w:noProof w:val="0"/>
          <w:sz w:val="24"/>
          <w:lang w:eastAsia="hr-HR"/>
        </w:rPr>
        <w:t>eva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, ili b) ukaže na mogućnost korištenja </w:t>
      </w:r>
      <w:r w:rsidR="00337646" w:rsidRPr="00441E95">
        <w:rPr>
          <w:rFonts w:ascii="Times New Roman" w:hAnsi="Times New Roman"/>
          <w:noProof w:val="0"/>
          <w:sz w:val="24"/>
          <w:lang w:eastAsia="hr-HR"/>
        </w:rPr>
        <w:t>FI-j</w:t>
      </w:r>
      <w:r w:rsidR="00B9096D">
        <w:rPr>
          <w:rFonts w:ascii="Times New Roman" w:hAnsi="Times New Roman"/>
          <w:noProof w:val="0"/>
          <w:sz w:val="24"/>
          <w:lang w:eastAsia="hr-HR"/>
        </w:rPr>
        <w:t>eva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, gdje to primarno nije bilo predviđeno, te po potrebi utvrdi potreba za dodatnim analizama. </w:t>
      </w:r>
    </w:p>
    <w:p w14:paraId="55AA6A84" w14:textId="77777777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05C535A1" w14:textId="67CEDCFB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 xml:space="preserve">Temeljem izrađenih analiza utvrđena je opravdanost korištenja </w:t>
      </w:r>
      <w:r w:rsidR="00337646" w:rsidRPr="00441E95">
        <w:rPr>
          <w:rFonts w:ascii="Times New Roman" w:hAnsi="Times New Roman"/>
          <w:noProof w:val="0"/>
          <w:sz w:val="24"/>
          <w:lang w:eastAsia="hr-HR"/>
        </w:rPr>
        <w:t>FI-j</w:t>
      </w:r>
      <w:r w:rsidR="00B9096D">
        <w:rPr>
          <w:rFonts w:ascii="Times New Roman" w:hAnsi="Times New Roman"/>
          <w:noProof w:val="0"/>
          <w:sz w:val="24"/>
          <w:lang w:eastAsia="hr-HR"/>
        </w:rPr>
        <w:t>eva</w:t>
      </w:r>
      <w:r w:rsidR="00337646" w:rsidRPr="00441E95">
        <w:rPr>
          <w:rFonts w:ascii="Times New Roman" w:hAnsi="Times New Roman"/>
          <w:noProof w:val="0"/>
          <w:sz w:val="24"/>
          <w:lang w:eastAsia="hr-HR"/>
        </w:rPr>
        <w:t xml:space="preserve"> 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u sljedećim specifičnim ciljevima: </w:t>
      </w:r>
    </w:p>
    <w:p w14:paraId="79A715A3" w14:textId="77777777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>3a1 „Bolji pristup financiranju za male i srednje poduzetnike“</w:t>
      </w:r>
    </w:p>
    <w:p w14:paraId="19F5F83E" w14:textId="77777777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>4b1 „Povećanje energetske učinkovitosti i korištenja OIE u proizvodnim industrijama“</w:t>
      </w:r>
    </w:p>
    <w:p w14:paraId="0C4116E7" w14:textId="77777777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>4b2 „Povećanje energetske učinkovitosti i korištenja OIE u privatnom uslužnom sektoru (turizam i trgovina)“</w:t>
      </w:r>
    </w:p>
    <w:p w14:paraId="38184E1F" w14:textId="77777777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 xml:space="preserve">4c1 „Smanjenje potrošnje energije u zgradama javnog sektora“ </w:t>
      </w:r>
    </w:p>
    <w:p w14:paraId="1779C991" w14:textId="77777777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 xml:space="preserve">4c2 „Smanjenje potrošnje energije u stambenim zgradama (u višestambenim zgradama i obiteljskim kućama)“. </w:t>
      </w:r>
    </w:p>
    <w:p w14:paraId="36366C09" w14:textId="2E690051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 xml:space="preserve">Tijekom provedbe </w:t>
      </w:r>
      <w:r w:rsidR="00337646" w:rsidRPr="00441E95">
        <w:rPr>
          <w:rFonts w:ascii="Times New Roman" w:hAnsi="Times New Roman"/>
          <w:noProof w:val="0"/>
          <w:sz w:val="24"/>
          <w:lang w:eastAsia="hr-HR"/>
        </w:rPr>
        <w:t>FI-j</w:t>
      </w:r>
      <w:r w:rsidR="006D2283" w:rsidRPr="00441E95">
        <w:rPr>
          <w:rFonts w:ascii="Times New Roman" w:hAnsi="Times New Roman"/>
          <w:noProof w:val="0"/>
          <w:sz w:val="24"/>
          <w:lang w:eastAsia="hr-HR"/>
        </w:rPr>
        <w:t>eva</w:t>
      </w:r>
      <w:r w:rsidR="00337646" w:rsidRPr="00441E95">
        <w:rPr>
          <w:rFonts w:ascii="Times New Roman" w:hAnsi="Times New Roman"/>
          <w:noProof w:val="0"/>
          <w:sz w:val="24"/>
          <w:lang w:eastAsia="hr-HR"/>
        </w:rPr>
        <w:t xml:space="preserve"> </w:t>
      </w:r>
      <w:r w:rsidRPr="00441E95">
        <w:rPr>
          <w:rFonts w:ascii="Times New Roman" w:hAnsi="Times New Roman"/>
          <w:noProof w:val="0"/>
          <w:sz w:val="24"/>
          <w:lang w:eastAsia="hr-HR"/>
        </w:rPr>
        <w:t>sufinanciranih iz specifičnog cilja 3a1 „Bolji pristup financiranju za male i srednje poduzetnike“, u skladu s člankom 37. stavkom 2.</w:t>
      </w:r>
      <w:r w:rsidR="00706AF2">
        <w:rPr>
          <w:rFonts w:ascii="Times New Roman" w:hAnsi="Times New Roman"/>
          <w:noProof w:val="0"/>
          <w:sz w:val="24"/>
          <w:lang w:eastAsia="hr-HR"/>
        </w:rPr>
        <w:t xml:space="preserve"> točkom </w:t>
      </w:r>
      <w:r w:rsidR="00622F81">
        <w:rPr>
          <w:rFonts w:ascii="Times New Roman" w:hAnsi="Times New Roman"/>
          <w:noProof w:val="0"/>
          <w:sz w:val="24"/>
          <w:lang w:eastAsia="hr-HR"/>
        </w:rPr>
        <w:t>(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g) Uredbe (EU) br. 1303/2013, u </w:t>
      </w:r>
      <w:r w:rsidR="006D2283" w:rsidRPr="00441E95">
        <w:rPr>
          <w:rFonts w:ascii="Times New Roman" w:hAnsi="Times New Roman"/>
          <w:noProof w:val="0"/>
          <w:sz w:val="24"/>
          <w:lang w:eastAsia="hr-HR"/>
        </w:rPr>
        <w:t xml:space="preserve">više </w:t>
      </w:r>
      <w:r w:rsidRPr="00441E95">
        <w:rPr>
          <w:rFonts w:ascii="Times New Roman" w:hAnsi="Times New Roman"/>
          <w:noProof w:val="0"/>
          <w:sz w:val="24"/>
          <w:lang w:eastAsia="hr-HR"/>
        </w:rPr>
        <w:t>navrata je ažurirana Analiza „</w:t>
      </w:r>
      <w:r w:rsidRPr="00441E95">
        <w:rPr>
          <w:rFonts w:ascii="Times New Roman" w:hAnsi="Times New Roman"/>
          <w:i/>
          <w:noProof w:val="0"/>
          <w:sz w:val="24"/>
          <w:lang w:eastAsia="hr-HR"/>
        </w:rPr>
        <w:t>Financijski instrumenti: Poslovna konkurentnost ESIF 2014-2020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“ te je prilagođena tržišnim uvjetima i potrebama </w:t>
      </w:r>
      <w:r w:rsidR="00357C62" w:rsidRPr="00441E95">
        <w:rPr>
          <w:rFonts w:ascii="Times New Roman" w:hAnsi="Times New Roman"/>
          <w:noProof w:val="0"/>
          <w:sz w:val="24"/>
          <w:lang w:eastAsia="hr-HR"/>
        </w:rPr>
        <w:t>MSP-a</w:t>
      </w:r>
      <w:r w:rsidRPr="00441E95">
        <w:rPr>
          <w:rFonts w:ascii="Times New Roman" w:hAnsi="Times New Roman"/>
          <w:noProof w:val="0"/>
          <w:sz w:val="24"/>
          <w:lang w:eastAsia="hr-HR"/>
        </w:rPr>
        <w:t>.</w:t>
      </w:r>
    </w:p>
    <w:p w14:paraId="60DB5D20" w14:textId="77777777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b/>
          <w:noProof w:val="0"/>
          <w:sz w:val="24"/>
          <w:lang w:eastAsia="hr-HR"/>
        </w:rPr>
      </w:pPr>
    </w:p>
    <w:p w14:paraId="5A9075E1" w14:textId="1C77DEE8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 xml:space="preserve">Procedure vezane uz </w:t>
      </w:r>
      <w:r w:rsidR="00337646" w:rsidRPr="00441E95">
        <w:rPr>
          <w:rFonts w:ascii="Times New Roman" w:hAnsi="Times New Roman"/>
          <w:noProof w:val="0"/>
          <w:sz w:val="24"/>
          <w:lang w:eastAsia="hr-HR"/>
        </w:rPr>
        <w:t>FI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propisuju aktivnosti utvrđivanja potrebe pružanja financijske potpore putem FI-</w:t>
      </w:r>
      <w:r w:rsidR="003C0C59" w:rsidRPr="00441E95">
        <w:rPr>
          <w:rFonts w:ascii="Times New Roman" w:hAnsi="Times New Roman"/>
          <w:noProof w:val="0"/>
          <w:sz w:val="24"/>
          <w:lang w:eastAsia="hr-HR"/>
        </w:rPr>
        <w:t>j</w:t>
      </w:r>
      <w:r w:rsidRPr="00441E95">
        <w:rPr>
          <w:rFonts w:ascii="Times New Roman" w:hAnsi="Times New Roman"/>
          <w:noProof w:val="0"/>
          <w:sz w:val="24"/>
          <w:lang w:eastAsia="hr-HR"/>
        </w:rPr>
        <w:t>a, a što pretpostavlja sljedeće korake:</w:t>
      </w:r>
    </w:p>
    <w:p w14:paraId="73073019" w14:textId="77777777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75CD167B" w14:textId="7FBEC390" w:rsidR="000725B5" w:rsidRPr="00441E95" w:rsidRDefault="00AB0023" w:rsidP="00EA6306">
      <w:pPr>
        <w:pStyle w:val="ListParagraph"/>
        <w:numPr>
          <w:ilvl w:val="0"/>
          <w:numId w:val="11"/>
        </w:numPr>
        <w:spacing w:before="0" w:after="0"/>
        <w:jc w:val="both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u w:val="single"/>
          <w:lang w:eastAsia="hr-HR"/>
        </w:rPr>
        <w:t>angažiranje (vanjskog) stručnjaka za FI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- 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 xml:space="preserve">UT angažira (vanjskog) stručnjaka za </w:t>
      </w:r>
      <w:r w:rsidR="00337646" w:rsidRPr="00441E95">
        <w:rPr>
          <w:rFonts w:ascii="Times New Roman" w:hAnsi="Times New Roman"/>
          <w:noProof w:val="0"/>
          <w:sz w:val="24"/>
          <w:lang w:eastAsia="hr-HR"/>
        </w:rPr>
        <w:t>FI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 xml:space="preserve"> koji će izraditi </w:t>
      </w:r>
      <w:r w:rsidR="000725B5" w:rsidRPr="00441E95">
        <w:rPr>
          <w:rFonts w:ascii="Times New Roman" w:hAnsi="Times New Roman"/>
          <w:i/>
          <w:noProof w:val="0"/>
          <w:sz w:val="24"/>
          <w:lang w:eastAsia="hr-HR"/>
        </w:rPr>
        <w:t>ex</w:t>
      </w:r>
      <w:r w:rsidR="00D32C02" w:rsidRPr="00441E95">
        <w:rPr>
          <w:rFonts w:ascii="Times New Roman" w:hAnsi="Times New Roman"/>
          <w:i/>
          <w:noProof w:val="0"/>
          <w:sz w:val="24"/>
          <w:lang w:eastAsia="hr-HR"/>
        </w:rPr>
        <w:t xml:space="preserve"> </w:t>
      </w:r>
      <w:r w:rsidR="000725B5" w:rsidRPr="00441E95">
        <w:rPr>
          <w:rFonts w:ascii="Times New Roman" w:hAnsi="Times New Roman"/>
          <w:i/>
          <w:noProof w:val="0"/>
          <w:sz w:val="24"/>
          <w:lang w:eastAsia="hr-HR"/>
        </w:rPr>
        <w:t>ante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 xml:space="preserve"> analizu ili njenu izmjenu i/ili dopunu. Sukladno Smjernicama EK za države članice o primjeni članka 37</w:t>
      </w:r>
      <w:r w:rsidR="002A6512" w:rsidRPr="00441E95">
        <w:rPr>
          <w:rFonts w:ascii="Times New Roman" w:hAnsi="Times New Roman"/>
          <w:noProof w:val="0"/>
          <w:sz w:val="24"/>
          <w:lang w:eastAsia="hr-HR"/>
        </w:rPr>
        <w:t>.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 xml:space="preserve"> </w:t>
      </w:r>
      <w:r w:rsidR="002A6512" w:rsidRPr="00441E95">
        <w:rPr>
          <w:rFonts w:ascii="Times New Roman" w:hAnsi="Times New Roman"/>
          <w:noProof w:val="0"/>
          <w:sz w:val="24"/>
          <w:lang w:eastAsia="hr-HR"/>
        </w:rPr>
        <w:t xml:space="preserve">stavka 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>2</w:t>
      </w:r>
      <w:r w:rsidR="002A6512" w:rsidRPr="00441E95">
        <w:rPr>
          <w:rFonts w:ascii="Times New Roman" w:hAnsi="Times New Roman"/>
          <w:noProof w:val="0"/>
          <w:sz w:val="24"/>
          <w:lang w:eastAsia="hr-HR"/>
        </w:rPr>
        <w:t>.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 xml:space="preserve"> uredbe (EU) 1303/2013 (EGESIF 14_0039_1 od 11. veljače 2015.; Prilog Pitanja i odgovori, stranica 9., odgovor l),  UT ima slobodu, uzimajući u obzir okolnosti administrativnih i stručnih kapaciteta te neovisnosti, izabrati hoće li zadatak pripreme odnosno izmjene i/ili dopune </w:t>
      </w:r>
      <w:r w:rsidR="000725B5" w:rsidRPr="00441E95">
        <w:rPr>
          <w:rFonts w:ascii="Times New Roman" w:hAnsi="Times New Roman"/>
          <w:i/>
          <w:noProof w:val="0"/>
          <w:sz w:val="24"/>
          <w:lang w:eastAsia="hr-HR"/>
        </w:rPr>
        <w:t>ex</w:t>
      </w:r>
      <w:r w:rsidR="00D32C02" w:rsidRPr="00441E95">
        <w:rPr>
          <w:rFonts w:ascii="Times New Roman" w:hAnsi="Times New Roman"/>
          <w:i/>
          <w:noProof w:val="0"/>
          <w:sz w:val="24"/>
          <w:lang w:eastAsia="hr-HR"/>
        </w:rPr>
        <w:t xml:space="preserve"> </w:t>
      </w:r>
      <w:r w:rsidR="000725B5" w:rsidRPr="00441E95">
        <w:rPr>
          <w:rFonts w:ascii="Times New Roman" w:hAnsi="Times New Roman"/>
          <w:i/>
          <w:noProof w:val="0"/>
          <w:sz w:val="24"/>
          <w:lang w:eastAsia="hr-HR"/>
        </w:rPr>
        <w:t>ante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 xml:space="preserve"> analize dodijeliti nekom pružatelju usluge, europskoj ili međunarodnoj financijskoj instituciji ili će navedeni zadatak odraditi samostalno</w:t>
      </w:r>
      <w:r w:rsidR="00642217" w:rsidRPr="00441E95">
        <w:rPr>
          <w:rFonts w:ascii="Times New Roman" w:hAnsi="Times New Roman"/>
          <w:noProof w:val="0"/>
          <w:sz w:val="24"/>
          <w:lang w:eastAsia="hr-HR"/>
        </w:rPr>
        <w:t>.</w:t>
      </w:r>
    </w:p>
    <w:p w14:paraId="57E45FFF" w14:textId="77777777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6F43A874" w14:textId="60A1BF8C" w:rsidR="000725B5" w:rsidRPr="00441E95" w:rsidRDefault="00AB0023" w:rsidP="00EA6306">
      <w:pPr>
        <w:pStyle w:val="ListParagraph"/>
        <w:numPr>
          <w:ilvl w:val="0"/>
          <w:numId w:val="11"/>
        </w:numPr>
        <w:spacing w:before="0" w:after="0"/>
        <w:jc w:val="both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u w:val="single"/>
          <w:lang w:eastAsia="hr-HR"/>
        </w:rPr>
        <w:t>izrada</w:t>
      </w:r>
      <w:r w:rsidR="000725B5" w:rsidRPr="00441E95">
        <w:rPr>
          <w:rFonts w:ascii="Times New Roman" w:hAnsi="Times New Roman"/>
          <w:noProof w:val="0"/>
          <w:sz w:val="24"/>
          <w:u w:val="single"/>
          <w:lang w:eastAsia="hr-HR"/>
        </w:rPr>
        <w:t>/</w:t>
      </w:r>
      <w:r w:rsidR="0026188C" w:rsidRPr="00441E95">
        <w:rPr>
          <w:rFonts w:ascii="Times New Roman" w:hAnsi="Times New Roman"/>
          <w:noProof w:val="0"/>
          <w:sz w:val="24"/>
          <w:u w:val="single"/>
          <w:lang w:eastAsia="hr-HR"/>
        </w:rPr>
        <w:t>izmjen</w:t>
      </w:r>
      <w:r w:rsidR="0026188C">
        <w:rPr>
          <w:rFonts w:ascii="Times New Roman" w:hAnsi="Times New Roman"/>
          <w:noProof w:val="0"/>
          <w:sz w:val="24"/>
          <w:u w:val="single"/>
          <w:lang w:eastAsia="hr-HR"/>
        </w:rPr>
        <w:t>a</w:t>
      </w:r>
      <w:r w:rsidR="0026188C" w:rsidRPr="00441E95">
        <w:rPr>
          <w:rFonts w:ascii="Times New Roman" w:hAnsi="Times New Roman"/>
          <w:noProof w:val="0"/>
          <w:sz w:val="24"/>
          <w:u w:val="single"/>
          <w:lang w:eastAsia="hr-HR"/>
        </w:rPr>
        <w:t xml:space="preserve"> </w:t>
      </w:r>
      <w:r w:rsidR="000725B5" w:rsidRPr="00441E95">
        <w:rPr>
          <w:rFonts w:ascii="Times New Roman" w:hAnsi="Times New Roman"/>
          <w:i/>
          <w:noProof w:val="0"/>
          <w:sz w:val="24"/>
          <w:u w:val="single"/>
          <w:lang w:eastAsia="hr-HR"/>
        </w:rPr>
        <w:t>ex ante</w:t>
      </w:r>
      <w:r w:rsidR="000725B5" w:rsidRPr="00441E95">
        <w:rPr>
          <w:rFonts w:ascii="Times New Roman" w:hAnsi="Times New Roman"/>
          <w:noProof w:val="0"/>
          <w:sz w:val="24"/>
          <w:u w:val="single"/>
          <w:lang w:eastAsia="hr-HR"/>
        </w:rPr>
        <w:t xml:space="preserve"> analize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 xml:space="preserve"> - po angažiranju, stručnjak pristupa izradi odnosno izmjeni i/ili dopuni </w:t>
      </w:r>
      <w:r w:rsidR="000725B5" w:rsidRPr="00441E95">
        <w:rPr>
          <w:rFonts w:ascii="Times New Roman" w:hAnsi="Times New Roman"/>
          <w:i/>
          <w:noProof w:val="0"/>
          <w:sz w:val="24"/>
          <w:lang w:eastAsia="hr-HR"/>
        </w:rPr>
        <w:t>ex ante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 xml:space="preserve"> analize. Nakon dovršetka izmjena i/ili dopuna </w:t>
      </w:r>
      <w:r w:rsidR="000725B5" w:rsidRPr="00441E95">
        <w:rPr>
          <w:rFonts w:ascii="Times New Roman" w:hAnsi="Times New Roman"/>
          <w:i/>
          <w:noProof w:val="0"/>
          <w:sz w:val="24"/>
          <w:lang w:eastAsia="hr-HR"/>
        </w:rPr>
        <w:t>ex ante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 xml:space="preserve"> analize, ako je primjenjivo, UT provjerava postojeće </w:t>
      </w:r>
      <w:r w:rsidR="00337646" w:rsidRPr="00441E95">
        <w:rPr>
          <w:rFonts w:ascii="Times New Roman" w:hAnsi="Times New Roman"/>
          <w:noProof w:val="0"/>
          <w:sz w:val="24"/>
          <w:lang w:eastAsia="hr-HR"/>
        </w:rPr>
        <w:t>SoF-ove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 xml:space="preserve"> te priprema njihove izmjene koje usuglašava s drugim stranama i dostavlja im na potpis. Procedure za izmjenu SoF-a propisuju se </w:t>
      </w:r>
      <w:r w:rsidR="007438BF" w:rsidRPr="00441E95">
        <w:rPr>
          <w:rFonts w:ascii="Times New Roman" w:hAnsi="Times New Roman"/>
          <w:noProof w:val="0"/>
          <w:sz w:val="24"/>
          <w:lang w:eastAsia="hr-HR"/>
        </w:rPr>
        <w:t>SoF-om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 xml:space="preserve">.  </w:t>
      </w:r>
    </w:p>
    <w:p w14:paraId="11A25CC9" w14:textId="77777777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1CCE3B33" w14:textId="043BBAA6" w:rsidR="000725B5" w:rsidRPr="00441E95" w:rsidRDefault="000725B5" w:rsidP="00EA6306">
      <w:pPr>
        <w:pStyle w:val="ListParagraph"/>
        <w:numPr>
          <w:ilvl w:val="0"/>
          <w:numId w:val="11"/>
        </w:numPr>
        <w:spacing w:before="0" w:after="0"/>
        <w:jc w:val="both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u w:val="single"/>
          <w:lang w:eastAsia="hr-HR"/>
        </w:rPr>
        <w:t xml:space="preserve">predstavljanje </w:t>
      </w:r>
      <w:bookmarkStart w:id="36" w:name="_Hlk29989743"/>
      <w:r w:rsidRPr="00441E95">
        <w:rPr>
          <w:rFonts w:ascii="Times New Roman" w:hAnsi="Times New Roman"/>
          <w:i/>
          <w:noProof w:val="0"/>
          <w:sz w:val="24"/>
          <w:u w:val="single"/>
          <w:lang w:eastAsia="hr-HR"/>
        </w:rPr>
        <w:t>ex ante</w:t>
      </w:r>
      <w:r w:rsidRPr="00441E95">
        <w:rPr>
          <w:rFonts w:ascii="Times New Roman" w:hAnsi="Times New Roman"/>
          <w:noProof w:val="0"/>
          <w:sz w:val="24"/>
          <w:u w:val="single"/>
          <w:lang w:eastAsia="hr-HR"/>
        </w:rPr>
        <w:t xml:space="preserve"> analize </w:t>
      </w:r>
      <w:bookmarkEnd w:id="36"/>
      <w:r w:rsidR="00AB0023" w:rsidRPr="00441E95">
        <w:rPr>
          <w:rFonts w:ascii="Times New Roman" w:hAnsi="Times New Roman"/>
          <w:noProof w:val="0"/>
          <w:sz w:val="24"/>
          <w:u w:val="single"/>
          <w:lang w:eastAsia="hr-HR"/>
        </w:rPr>
        <w:t>(ili izmjena i dopuna) OzP-u</w:t>
      </w:r>
      <w:r w:rsidR="00AB0023" w:rsidRPr="00441E95">
        <w:rPr>
          <w:rFonts w:ascii="Times New Roman" w:hAnsi="Times New Roman"/>
          <w:noProof w:val="0"/>
          <w:sz w:val="24"/>
          <w:lang w:eastAsia="hr-HR"/>
        </w:rPr>
        <w:t xml:space="preserve"> - 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UT predstavlja </w:t>
      </w:r>
      <w:r w:rsidR="00AB0023" w:rsidRPr="00441E95">
        <w:rPr>
          <w:rFonts w:ascii="Times New Roman" w:hAnsi="Times New Roman"/>
          <w:i/>
          <w:noProof w:val="0"/>
          <w:sz w:val="24"/>
          <w:lang w:eastAsia="hr-HR"/>
        </w:rPr>
        <w:t>ex ante</w:t>
      </w:r>
      <w:r w:rsidR="00AB0023" w:rsidRPr="00441E95">
        <w:rPr>
          <w:rFonts w:ascii="Times New Roman" w:hAnsi="Times New Roman"/>
          <w:noProof w:val="0"/>
          <w:sz w:val="24"/>
          <w:lang w:eastAsia="hr-HR"/>
        </w:rPr>
        <w:t xml:space="preserve"> analizu </w:t>
      </w:r>
      <w:r w:rsidRPr="00441E95">
        <w:rPr>
          <w:rFonts w:ascii="Times New Roman" w:hAnsi="Times New Roman"/>
          <w:noProof w:val="0"/>
          <w:sz w:val="24"/>
          <w:lang w:eastAsia="hr-HR"/>
        </w:rPr>
        <w:t>i dostavlja OzP-u na informaciju</w:t>
      </w:r>
      <w:r w:rsidR="00642217" w:rsidRPr="00441E95">
        <w:rPr>
          <w:rFonts w:ascii="Times New Roman" w:hAnsi="Times New Roman"/>
          <w:noProof w:val="0"/>
          <w:sz w:val="24"/>
          <w:lang w:eastAsia="hr-HR"/>
        </w:rPr>
        <w:t>.</w:t>
      </w:r>
    </w:p>
    <w:p w14:paraId="2EC1E580" w14:textId="77777777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5F8E2E66" w14:textId="3B0B7026" w:rsidR="000725B5" w:rsidRPr="00441E95" w:rsidRDefault="000725B5" w:rsidP="00EA6306">
      <w:pPr>
        <w:pStyle w:val="ListParagraph"/>
        <w:numPr>
          <w:ilvl w:val="0"/>
          <w:numId w:val="11"/>
        </w:numPr>
        <w:spacing w:before="0"/>
        <w:jc w:val="both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u w:val="single"/>
          <w:lang w:eastAsia="hr-HR"/>
        </w:rPr>
        <w:t xml:space="preserve">informiranje javnosti o usvajanju </w:t>
      </w:r>
      <w:r w:rsidRPr="00441E95">
        <w:rPr>
          <w:rFonts w:ascii="Times New Roman" w:hAnsi="Times New Roman"/>
          <w:i/>
          <w:noProof w:val="0"/>
          <w:sz w:val="24"/>
          <w:u w:val="single"/>
          <w:lang w:eastAsia="hr-HR"/>
        </w:rPr>
        <w:t>ex ante</w:t>
      </w:r>
      <w:r w:rsidRPr="00441E95">
        <w:rPr>
          <w:rFonts w:ascii="Times New Roman" w:hAnsi="Times New Roman"/>
          <w:noProof w:val="0"/>
          <w:sz w:val="24"/>
          <w:u w:val="single"/>
          <w:lang w:eastAsia="hr-HR"/>
        </w:rPr>
        <w:t xml:space="preserve"> analize </w:t>
      </w:r>
      <w:r w:rsidR="00AB0023" w:rsidRPr="00441E95">
        <w:rPr>
          <w:rFonts w:ascii="Times New Roman" w:hAnsi="Times New Roman"/>
          <w:noProof w:val="0"/>
          <w:sz w:val="24"/>
          <w:u w:val="single"/>
          <w:lang w:eastAsia="hr-HR"/>
        </w:rPr>
        <w:t>(ili izmjena i dopuna)</w:t>
      </w:r>
      <w:r w:rsidR="00AB0023" w:rsidRPr="00441E95" w:rsidDel="00AB0023">
        <w:rPr>
          <w:rFonts w:ascii="Times New Roman" w:hAnsi="Times New Roman"/>
          <w:noProof w:val="0"/>
          <w:sz w:val="24"/>
          <w:lang w:eastAsia="hr-HR"/>
        </w:rPr>
        <w:t xml:space="preserve"> </w:t>
      </w:r>
      <w:r w:rsidR="00AB0023" w:rsidRPr="00441E95">
        <w:rPr>
          <w:rFonts w:ascii="Times New Roman" w:hAnsi="Times New Roman"/>
          <w:noProof w:val="0"/>
          <w:sz w:val="24"/>
          <w:lang w:eastAsia="hr-HR"/>
        </w:rPr>
        <w:t xml:space="preserve">- 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UT izrađuje sažetak </w:t>
      </w:r>
      <w:r w:rsidRPr="00441E95">
        <w:rPr>
          <w:rFonts w:ascii="Times New Roman" w:hAnsi="Times New Roman"/>
          <w:i/>
          <w:noProof w:val="0"/>
          <w:sz w:val="24"/>
          <w:lang w:eastAsia="hr-HR"/>
        </w:rPr>
        <w:t>ex ante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analize i osigurava objavu sažetka na službenim mrežnim stranicama ESIF-a u RH.</w:t>
      </w:r>
    </w:p>
    <w:p w14:paraId="6C96E328" w14:textId="77777777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eastAsia="Calibri" w:hAnsi="Times New Roman"/>
          <w:b/>
          <w:noProof w:val="0"/>
          <w:sz w:val="24"/>
        </w:rPr>
      </w:pPr>
    </w:p>
    <w:p w14:paraId="73956925" w14:textId="136ABA04" w:rsidR="000725B5" w:rsidRPr="00441E95" w:rsidRDefault="000725B5" w:rsidP="001A2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160"/>
        </w:tabs>
        <w:spacing w:before="0"/>
        <w:ind w:left="0" w:firstLine="0"/>
        <w:rPr>
          <w:rFonts w:ascii="Times New Roman" w:eastAsia="Calibri" w:hAnsi="Times New Roman"/>
          <w:b/>
          <w:noProof w:val="0"/>
          <w:sz w:val="24"/>
        </w:rPr>
      </w:pPr>
      <w:r w:rsidRPr="00441E95">
        <w:rPr>
          <w:rFonts w:ascii="Times New Roman" w:eastAsia="Calibri" w:hAnsi="Times New Roman"/>
          <w:b/>
          <w:noProof w:val="0"/>
          <w:sz w:val="24"/>
        </w:rPr>
        <w:t xml:space="preserve">7.2. Uspostava sustava provedbe </w:t>
      </w:r>
      <w:r w:rsidR="00BF141D" w:rsidRPr="00441E95">
        <w:rPr>
          <w:rFonts w:ascii="Times New Roman" w:eastAsia="Calibri" w:hAnsi="Times New Roman"/>
          <w:b/>
          <w:noProof w:val="0"/>
          <w:sz w:val="24"/>
        </w:rPr>
        <w:t>FI-ja</w:t>
      </w:r>
    </w:p>
    <w:p w14:paraId="45EF94C5" w14:textId="77777777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eastAsia="Calibri" w:hAnsi="Times New Roman"/>
          <w:b/>
          <w:noProof w:val="0"/>
          <w:sz w:val="24"/>
        </w:rPr>
      </w:pPr>
    </w:p>
    <w:p w14:paraId="56987A66" w14:textId="4276DEDC" w:rsidR="001D5402" w:rsidRPr="00441E95" w:rsidRDefault="000725B5" w:rsidP="004F6A79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>Uspostava sustava provedbe FI</w:t>
      </w:r>
      <w:r w:rsidR="00BF141D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uključuje:</w:t>
      </w:r>
    </w:p>
    <w:p w14:paraId="132B2BCD" w14:textId="4442ED5A" w:rsidR="000725B5" w:rsidRPr="00441E95" w:rsidRDefault="000725B5" w:rsidP="004F6A79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 xml:space="preserve"> </w:t>
      </w:r>
    </w:p>
    <w:p w14:paraId="7A3C0FF7" w14:textId="11A5A4DF" w:rsidR="000725B5" w:rsidRPr="00441E95" w:rsidRDefault="000725B5" w:rsidP="00EA6306">
      <w:pPr>
        <w:pStyle w:val="ListParagraph"/>
        <w:numPr>
          <w:ilvl w:val="0"/>
          <w:numId w:val="20"/>
        </w:numPr>
        <w:spacing w:before="0"/>
        <w:jc w:val="both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u w:val="single"/>
          <w:lang w:eastAsia="hr-HR"/>
        </w:rPr>
        <w:t>pripremu kriterija za odabir operacija i pripadajuće metodologije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</w:t>
      </w:r>
      <w:r w:rsidR="00103959" w:rsidRPr="00441E95">
        <w:rPr>
          <w:rFonts w:ascii="Times New Roman" w:hAnsi="Times New Roman"/>
          <w:noProof w:val="0"/>
          <w:sz w:val="24"/>
          <w:lang w:eastAsia="hr-HR"/>
        </w:rPr>
        <w:t>(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PT1 priprema obrazac kriterija za odabir prema obrascu iz Priloga 01 ZNP-a br. 14 i dostavlja </w:t>
      </w:r>
      <w:r w:rsidR="00497160" w:rsidRPr="00441E95">
        <w:rPr>
          <w:rFonts w:ascii="Times New Roman" w:hAnsi="Times New Roman"/>
          <w:noProof w:val="0"/>
          <w:sz w:val="24"/>
          <w:lang w:eastAsia="hr-HR"/>
        </w:rPr>
        <w:t xml:space="preserve">ga </w:t>
      </w:r>
      <w:r w:rsidRPr="00441E95">
        <w:rPr>
          <w:rFonts w:ascii="Times New Roman" w:hAnsi="Times New Roman"/>
          <w:noProof w:val="0"/>
          <w:sz w:val="24"/>
          <w:lang w:eastAsia="hr-HR"/>
        </w:rPr>
        <w:t>UT-u na odobrenje</w:t>
      </w:r>
      <w:r w:rsidR="00103959" w:rsidRPr="00441E95">
        <w:rPr>
          <w:rFonts w:ascii="Times New Roman" w:hAnsi="Times New Roman"/>
          <w:noProof w:val="0"/>
          <w:sz w:val="24"/>
          <w:lang w:eastAsia="hr-HR"/>
        </w:rPr>
        <w:t>)</w:t>
      </w:r>
      <w:r w:rsidR="004F6A79" w:rsidRPr="00441E95">
        <w:rPr>
          <w:rFonts w:ascii="Times New Roman" w:hAnsi="Times New Roman"/>
          <w:noProof w:val="0"/>
          <w:sz w:val="24"/>
          <w:lang w:eastAsia="hr-HR"/>
        </w:rPr>
        <w:t>;</w:t>
      </w:r>
    </w:p>
    <w:p w14:paraId="6D3D7548" w14:textId="77777777" w:rsidR="000725B5" w:rsidRPr="00441E95" w:rsidRDefault="000725B5" w:rsidP="004F6A79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69C9436A" w14:textId="553C8E28" w:rsidR="000725B5" w:rsidRPr="00441E95" w:rsidRDefault="000725B5" w:rsidP="00EA6306">
      <w:pPr>
        <w:pStyle w:val="ListParagraph"/>
        <w:numPr>
          <w:ilvl w:val="0"/>
          <w:numId w:val="20"/>
        </w:numPr>
        <w:spacing w:before="0"/>
        <w:jc w:val="both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u w:val="single"/>
          <w:lang w:eastAsia="hr-HR"/>
        </w:rPr>
        <w:t>usvajanje kriterija za odabir operacija i pripadajuće metodologije</w:t>
      </w:r>
      <w:r w:rsidR="00CB40A4" w:rsidRPr="00441E95">
        <w:rPr>
          <w:rFonts w:ascii="Times New Roman" w:hAnsi="Times New Roman"/>
          <w:noProof w:val="0"/>
          <w:sz w:val="24"/>
          <w:lang w:eastAsia="hr-HR"/>
        </w:rPr>
        <w:t xml:space="preserve"> (UT prosljeđuje odobreni obrazac kriterija za odabir OzP-u koji o njemu odlučuje te ga</w:t>
      </w:r>
      <w:r w:rsidR="00564261" w:rsidRPr="00441E95">
        <w:rPr>
          <w:rFonts w:ascii="Times New Roman" w:hAnsi="Times New Roman"/>
          <w:noProof w:val="0"/>
          <w:sz w:val="24"/>
          <w:lang w:eastAsia="hr-HR"/>
        </w:rPr>
        <w:t>,</w:t>
      </w:r>
      <w:r w:rsidR="00CB40A4" w:rsidRPr="00441E95">
        <w:rPr>
          <w:rFonts w:ascii="Times New Roman" w:hAnsi="Times New Roman"/>
          <w:noProof w:val="0"/>
          <w:sz w:val="24"/>
          <w:lang w:eastAsia="hr-HR"/>
        </w:rPr>
        <w:t xml:space="preserve"> u slučaju pozitivnog ishoda odlučivanja</w:t>
      </w:r>
      <w:r w:rsidR="00564261" w:rsidRPr="00441E95">
        <w:rPr>
          <w:rFonts w:ascii="Times New Roman" w:hAnsi="Times New Roman"/>
          <w:noProof w:val="0"/>
          <w:sz w:val="24"/>
          <w:lang w:eastAsia="hr-HR"/>
        </w:rPr>
        <w:t>,</w:t>
      </w:r>
      <w:r w:rsidR="00CB40A4" w:rsidRPr="00441E95">
        <w:rPr>
          <w:rFonts w:ascii="Times New Roman" w:hAnsi="Times New Roman"/>
          <w:noProof w:val="0"/>
          <w:sz w:val="24"/>
          <w:lang w:eastAsia="hr-HR"/>
        </w:rPr>
        <w:t xml:space="preserve"> usvaja)</w:t>
      </w:r>
      <w:r w:rsidR="004F6A79" w:rsidRPr="00441E95">
        <w:rPr>
          <w:rFonts w:ascii="Times New Roman" w:hAnsi="Times New Roman"/>
          <w:noProof w:val="0"/>
          <w:sz w:val="24"/>
          <w:lang w:eastAsia="hr-HR"/>
        </w:rPr>
        <w:t>;</w:t>
      </w:r>
    </w:p>
    <w:p w14:paraId="692C27E0" w14:textId="77777777" w:rsidR="000725B5" w:rsidRPr="00441E95" w:rsidRDefault="000725B5" w:rsidP="004F6A79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5E02AB91" w14:textId="61650745" w:rsidR="000725B5" w:rsidRPr="00441E95" w:rsidRDefault="000725B5" w:rsidP="00EA6306">
      <w:pPr>
        <w:pStyle w:val="ListParagraph"/>
        <w:numPr>
          <w:ilvl w:val="0"/>
          <w:numId w:val="20"/>
        </w:numPr>
        <w:spacing w:before="0"/>
        <w:jc w:val="both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u w:val="single"/>
          <w:lang w:eastAsia="hr-HR"/>
        </w:rPr>
        <w:t>odabir modela provedbene strukture za FI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</w:t>
      </w:r>
      <w:r w:rsidR="00103959" w:rsidRPr="00441E95">
        <w:rPr>
          <w:rFonts w:ascii="Times New Roman" w:hAnsi="Times New Roman"/>
          <w:noProof w:val="0"/>
          <w:sz w:val="24"/>
          <w:lang w:eastAsia="hr-HR"/>
        </w:rPr>
        <w:t>(P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rovodi UT u suradnji s PT1 sukladno prijedlozima iz </w:t>
      </w:r>
      <w:r w:rsidRPr="00441E95">
        <w:rPr>
          <w:rFonts w:ascii="Times New Roman" w:hAnsi="Times New Roman"/>
          <w:i/>
          <w:noProof w:val="0"/>
          <w:sz w:val="24"/>
          <w:lang w:eastAsia="hr-HR"/>
        </w:rPr>
        <w:t>ex ante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analize</w:t>
      </w:r>
      <w:r w:rsidR="00103959" w:rsidRPr="00441E95">
        <w:rPr>
          <w:rFonts w:ascii="Times New Roman" w:hAnsi="Times New Roman"/>
          <w:noProof w:val="0"/>
          <w:sz w:val="24"/>
          <w:lang w:eastAsia="hr-HR"/>
        </w:rPr>
        <w:t>)</w:t>
      </w:r>
      <w:r w:rsidR="004F6A79" w:rsidRPr="00441E95">
        <w:rPr>
          <w:rFonts w:ascii="Times New Roman" w:hAnsi="Times New Roman"/>
          <w:noProof w:val="0"/>
          <w:sz w:val="24"/>
          <w:lang w:eastAsia="hr-HR"/>
        </w:rPr>
        <w:t>;</w:t>
      </w:r>
    </w:p>
    <w:p w14:paraId="277CC8CC" w14:textId="77777777" w:rsidR="000725B5" w:rsidRPr="00441E95" w:rsidRDefault="000725B5" w:rsidP="004F6A79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792FFBE5" w14:textId="67549182" w:rsidR="000725B5" w:rsidRPr="00441E95" w:rsidRDefault="000725B5" w:rsidP="00EA6306">
      <w:pPr>
        <w:pStyle w:val="ListParagraph"/>
        <w:numPr>
          <w:ilvl w:val="0"/>
          <w:numId w:val="20"/>
        </w:numPr>
        <w:spacing w:before="0"/>
        <w:jc w:val="both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u w:val="single"/>
          <w:lang w:eastAsia="hr-HR"/>
        </w:rPr>
        <w:t>uspostav</w:t>
      </w:r>
      <w:r w:rsidR="0026188C">
        <w:rPr>
          <w:rFonts w:ascii="Times New Roman" w:hAnsi="Times New Roman"/>
          <w:noProof w:val="0"/>
          <w:sz w:val="24"/>
          <w:u w:val="single"/>
          <w:lang w:eastAsia="hr-HR"/>
        </w:rPr>
        <w:t>u</w:t>
      </w:r>
      <w:r w:rsidRPr="00441E95">
        <w:rPr>
          <w:rFonts w:ascii="Times New Roman" w:hAnsi="Times New Roman"/>
          <w:noProof w:val="0"/>
          <w:sz w:val="24"/>
          <w:u w:val="single"/>
          <w:lang w:eastAsia="hr-HR"/>
        </w:rPr>
        <w:t xml:space="preserve"> provedbene strukture za FI</w:t>
      </w:r>
      <w:r w:rsidRPr="00441E95">
        <w:rPr>
          <w:noProof w:val="0"/>
          <w:vertAlign w:val="superscript"/>
          <w:lang w:eastAsia="hr-HR"/>
        </w:rPr>
        <w:footnoteReference w:id="18"/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</w:t>
      </w:r>
      <w:r w:rsidR="00103959" w:rsidRPr="00441E95">
        <w:rPr>
          <w:rFonts w:ascii="Times New Roman" w:hAnsi="Times New Roman"/>
          <w:noProof w:val="0"/>
          <w:sz w:val="24"/>
          <w:lang w:eastAsia="hr-HR"/>
        </w:rPr>
        <w:t>(</w:t>
      </w:r>
      <w:r w:rsidRPr="00441E95">
        <w:rPr>
          <w:rFonts w:ascii="Times New Roman" w:hAnsi="Times New Roman"/>
          <w:noProof w:val="0"/>
          <w:sz w:val="24"/>
          <w:lang w:eastAsia="hr-HR"/>
        </w:rPr>
        <w:t>UT utvrđuje minimalne uvjete i objektivne kriterije (ponajprije uvjete iz članka 7. Delegirane Uredbe (EU) br. 480/2014) za odabir TPFI</w:t>
      </w:r>
      <w:r w:rsidR="007A60F8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za određeni FI te ujedno odabire provedbu između izravnog ili neizravnog načina odabira TPFI</w:t>
      </w:r>
      <w:r w:rsidR="00784071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="00103959" w:rsidRPr="00441E95">
        <w:rPr>
          <w:rFonts w:ascii="Times New Roman" w:hAnsi="Times New Roman"/>
          <w:noProof w:val="0"/>
          <w:sz w:val="24"/>
          <w:lang w:eastAsia="hr-HR"/>
        </w:rPr>
        <w:t>)</w:t>
      </w:r>
      <w:r w:rsidR="004F6A79" w:rsidRPr="00441E95">
        <w:rPr>
          <w:rFonts w:ascii="Times New Roman" w:hAnsi="Times New Roman"/>
          <w:noProof w:val="0"/>
          <w:sz w:val="24"/>
          <w:lang w:eastAsia="hr-HR"/>
        </w:rPr>
        <w:t>;</w:t>
      </w:r>
    </w:p>
    <w:p w14:paraId="40DF6C77" w14:textId="77777777" w:rsidR="000725B5" w:rsidRPr="00441E95" w:rsidRDefault="000725B5" w:rsidP="004F6A79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5650D6D6" w14:textId="7362D3E1" w:rsidR="000725B5" w:rsidRPr="00441E95" w:rsidRDefault="00BF141D" w:rsidP="00EA6306">
      <w:pPr>
        <w:pStyle w:val="ListParagraph"/>
        <w:numPr>
          <w:ilvl w:val="0"/>
          <w:numId w:val="20"/>
        </w:numPr>
        <w:spacing w:before="0"/>
        <w:jc w:val="both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u w:val="single"/>
          <w:lang w:eastAsia="hr-HR"/>
        </w:rPr>
        <w:t>p</w:t>
      </w:r>
      <w:r w:rsidR="000725B5" w:rsidRPr="00441E95">
        <w:rPr>
          <w:rFonts w:ascii="Times New Roman" w:hAnsi="Times New Roman"/>
          <w:noProof w:val="0"/>
          <w:sz w:val="24"/>
          <w:u w:val="single"/>
          <w:lang w:eastAsia="hr-HR"/>
        </w:rPr>
        <w:t>otpisivanje SoF-a prve razine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 xml:space="preserve"> (SoF sačinjava investicijsk</w:t>
      </w:r>
      <w:r w:rsidR="0007685C" w:rsidRPr="00441E95">
        <w:rPr>
          <w:rFonts w:ascii="Times New Roman" w:hAnsi="Times New Roman"/>
          <w:noProof w:val="0"/>
          <w:sz w:val="24"/>
          <w:lang w:eastAsia="hr-HR"/>
        </w:rPr>
        <w:t>a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 xml:space="preserve"> strategij</w:t>
      </w:r>
      <w:r w:rsidR="0007685C" w:rsidRPr="00441E95">
        <w:rPr>
          <w:rFonts w:ascii="Times New Roman" w:hAnsi="Times New Roman"/>
          <w:noProof w:val="0"/>
          <w:sz w:val="24"/>
          <w:lang w:eastAsia="hr-HR"/>
        </w:rPr>
        <w:t>a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 xml:space="preserve"> s detaljnim opisom financijskog proizvoda, poslovni plan, financijski plan, pregled zadanih vrijednosti pokazatelja i, kada je primjenjivo, etape koje je potrebno ostvariti provedbom FI</w:t>
      </w:r>
      <w:r w:rsidR="0007685C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>, izračun troškova upravljanja i naknada za upravljanje, izvještajne obrasce, predložak SoF-a druge razine, kada je primjenjivo, ARO i druge elemente potrebne za određivanje načina provedbe FI</w:t>
      </w:r>
      <w:r w:rsidR="0007685C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 xml:space="preserve"> te obveza i odgovornosti tijela koja su uključena u provedbu FI</w:t>
      </w:r>
      <w:r w:rsidR="0007685C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>. UT usuglašava sadržaj SoF-a s TPFI-om. Uspostava FI</w:t>
      </w:r>
      <w:r w:rsidR="0007685C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 xml:space="preserve"> je dovršena potpisom SoF-a prve razine</w:t>
      </w:r>
      <w:r w:rsidR="00103959" w:rsidRPr="00441E95">
        <w:rPr>
          <w:rFonts w:ascii="Times New Roman" w:hAnsi="Times New Roman"/>
          <w:noProof w:val="0"/>
          <w:sz w:val="24"/>
          <w:lang w:eastAsia="hr-HR"/>
        </w:rPr>
        <w:t>)</w:t>
      </w:r>
      <w:r w:rsidR="004F6A79" w:rsidRPr="00441E95">
        <w:rPr>
          <w:rFonts w:ascii="Times New Roman" w:hAnsi="Times New Roman"/>
          <w:noProof w:val="0"/>
          <w:sz w:val="24"/>
          <w:lang w:eastAsia="hr-HR"/>
        </w:rPr>
        <w:t>;</w:t>
      </w:r>
    </w:p>
    <w:p w14:paraId="764EC620" w14:textId="77777777" w:rsidR="000725B5" w:rsidRPr="00441E95" w:rsidRDefault="000725B5" w:rsidP="004F6A79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4713B987" w14:textId="1EB53DFF" w:rsidR="000725B5" w:rsidRPr="00441E95" w:rsidRDefault="00564261" w:rsidP="00EA6306">
      <w:pPr>
        <w:pStyle w:val="ListParagraph"/>
        <w:numPr>
          <w:ilvl w:val="0"/>
          <w:numId w:val="20"/>
        </w:numPr>
        <w:spacing w:before="0"/>
        <w:jc w:val="both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u w:val="single"/>
          <w:lang w:eastAsia="hr-HR"/>
        </w:rPr>
        <w:t>izrad</w:t>
      </w:r>
      <w:r w:rsidR="0026188C">
        <w:rPr>
          <w:rFonts w:ascii="Times New Roman" w:hAnsi="Times New Roman"/>
          <w:noProof w:val="0"/>
          <w:sz w:val="24"/>
          <w:u w:val="single"/>
          <w:lang w:eastAsia="hr-HR"/>
        </w:rPr>
        <w:t>u</w:t>
      </w:r>
      <w:r w:rsidRPr="00441E95">
        <w:rPr>
          <w:rFonts w:ascii="Times New Roman" w:hAnsi="Times New Roman"/>
          <w:noProof w:val="0"/>
          <w:sz w:val="24"/>
          <w:u w:val="single"/>
          <w:lang w:eastAsia="hr-HR"/>
        </w:rPr>
        <w:t xml:space="preserve"> i usvajanje PoP-a tijela strukture za provedbu FI-ja, kada je primjenjivo</w:t>
      </w:r>
      <w:r w:rsidRPr="00441E95" w:rsidDel="00564261">
        <w:rPr>
          <w:rFonts w:ascii="Times New Roman" w:hAnsi="Times New Roman"/>
          <w:noProof w:val="0"/>
          <w:sz w:val="24"/>
          <w:u w:val="single"/>
          <w:lang w:eastAsia="hr-HR"/>
        </w:rPr>
        <w:t xml:space="preserve"> </w:t>
      </w:r>
      <w:r w:rsidR="00103959" w:rsidRPr="00441E95">
        <w:rPr>
          <w:rFonts w:ascii="Times New Roman" w:hAnsi="Times New Roman"/>
          <w:noProof w:val="0"/>
          <w:sz w:val="24"/>
          <w:lang w:eastAsia="hr-HR"/>
        </w:rPr>
        <w:t>(</w:t>
      </w:r>
      <w:r w:rsidR="00482214">
        <w:rPr>
          <w:rFonts w:ascii="Times New Roman" w:hAnsi="Times New Roman"/>
          <w:noProof w:val="0"/>
          <w:sz w:val="24"/>
          <w:lang w:eastAsia="hr-HR"/>
        </w:rPr>
        <w:t>t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>ijela strukture za provedbu FI</w:t>
      </w:r>
      <w:r w:rsidR="0007685C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 xml:space="preserve"> izrađuju nacrte svojih PoP-ova (UT, TPFI) te se u njemu raspisuju specifična postupanja u skladu s odgovornostima tijela za određenu vrstu financijskog proizvoda. UT zajedno s TPFI</w:t>
      </w:r>
      <w:r w:rsidR="0007685C" w:rsidRPr="00441E95">
        <w:rPr>
          <w:rFonts w:ascii="Times New Roman" w:hAnsi="Times New Roman"/>
          <w:noProof w:val="0"/>
          <w:sz w:val="24"/>
          <w:lang w:eastAsia="hr-HR"/>
        </w:rPr>
        <w:t>-jem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 xml:space="preserve"> priprema popis sadržaja PoP-a koje TPFI mora pripremiti za potrebe određenog FI</w:t>
      </w:r>
      <w:r w:rsidR="0007685C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 xml:space="preserve">. PoP-ovi stupaju na snagu kada ih odobri/usvoji UT, najkasnije prije sklapanja ugovora s </w:t>
      </w:r>
      <w:r w:rsidR="008F3818" w:rsidRPr="00441E95">
        <w:rPr>
          <w:rFonts w:ascii="Times New Roman" w:hAnsi="Times New Roman"/>
          <w:noProof w:val="0"/>
          <w:sz w:val="24"/>
          <w:lang w:eastAsia="hr-HR"/>
        </w:rPr>
        <w:t>KP-ima</w:t>
      </w:r>
      <w:r w:rsidR="00103959" w:rsidRPr="00441E95">
        <w:rPr>
          <w:rFonts w:ascii="Times New Roman" w:hAnsi="Times New Roman"/>
          <w:noProof w:val="0"/>
          <w:sz w:val="24"/>
          <w:lang w:eastAsia="hr-HR"/>
        </w:rPr>
        <w:t>)</w:t>
      </w:r>
      <w:r w:rsidR="004F6A79" w:rsidRPr="00441E95">
        <w:rPr>
          <w:rFonts w:ascii="Times New Roman" w:hAnsi="Times New Roman"/>
          <w:noProof w:val="0"/>
          <w:sz w:val="24"/>
          <w:lang w:eastAsia="hr-HR"/>
        </w:rPr>
        <w:t>;</w:t>
      </w:r>
    </w:p>
    <w:p w14:paraId="5AC14C47" w14:textId="77777777" w:rsidR="000725B5" w:rsidRPr="00441E95" w:rsidRDefault="000725B5" w:rsidP="004F6A79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449830A3" w14:textId="44A30B21" w:rsidR="000725B5" w:rsidRPr="00441E95" w:rsidRDefault="000725B5" w:rsidP="00EA6306">
      <w:pPr>
        <w:pStyle w:val="ListParagraph"/>
        <w:numPr>
          <w:ilvl w:val="0"/>
          <w:numId w:val="20"/>
        </w:numPr>
        <w:spacing w:before="0"/>
        <w:jc w:val="both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u w:val="single"/>
          <w:lang w:eastAsia="hr-HR"/>
        </w:rPr>
        <w:t>pokretanje FI-</w:t>
      </w:r>
      <w:r w:rsidR="003C0C59" w:rsidRPr="00441E95">
        <w:rPr>
          <w:rFonts w:ascii="Times New Roman" w:hAnsi="Times New Roman"/>
          <w:noProof w:val="0"/>
          <w:sz w:val="24"/>
          <w:u w:val="single"/>
          <w:lang w:eastAsia="hr-HR"/>
        </w:rPr>
        <w:t>j</w:t>
      </w:r>
      <w:r w:rsidRPr="00441E95">
        <w:rPr>
          <w:rFonts w:ascii="Times New Roman" w:hAnsi="Times New Roman"/>
          <w:noProof w:val="0"/>
          <w:sz w:val="24"/>
          <w:u w:val="single"/>
          <w:lang w:eastAsia="hr-HR"/>
        </w:rPr>
        <w:t>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</w:t>
      </w:r>
      <w:r w:rsidR="00103959" w:rsidRPr="00441E95">
        <w:rPr>
          <w:rFonts w:ascii="Times New Roman" w:hAnsi="Times New Roman"/>
          <w:noProof w:val="0"/>
          <w:sz w:val="24"/>
          <w:lang w:eastAsia="hr-HR"/>
        </w:rPr>
        <w:t>(P</w:t>
      </w:r>
      <w:r w:rsidRPr="00441E95">
        <w:rPr>
          <w:rFonts w:ascii="Times New Roman" w:hAnsi="Times New Roman"/>
          <w:noProof w:val="0"/>
          <w:sz w:val="24"/>
          <w:lang w:eastAsia="hr-HR"/>
        </w:rPr>
        <w:t>otpisom SoF-</w:t>
      </w:r>
      <w:r w:rsidR="003C0C59" w:rsidRPr="00441E95">
        <w:rPr>
          <w:rFonts w:ascii="Times New Roman" w:hAnsi="Times New Roman"/>
          <w:noProof w:val="0"/>
          <w:sz w:val="24"/>
          <w:lang w:eastAsia="hr-HR"/>
        </w:rPr>
        <w:t xml:space="preserve">a </w:t>
      </w:r>
      <w:r w:rsidRPr="00441E95">
        <w:rPr>
          <w:rFonts w:ascii="Times New Roman" w:hAnsi="Times New Roman"/>
          <w:noProof w:val="0"/>
          <w:sz w:val="24"/>
          <w:lang w:eastAsia="hr-HR"/>
        </w:rPr>
        <w:t>između UT</w:t>
      </w:r>
      <w:r w:rsidR="0007685C" w:rsidRPr="00441E95">
        <w:rPr>
          <w:rFonts w:ascii="Times New Roman" w:hAnsi="Times New Roman"/>
          <w:noProof w:val="0"/>
          <w:sz w:val="24"/>
          <w:lang w:eastAsia="hr-HR"/>
        </w:rPr>
        <w:t>-a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i TPFI</w:t>
      </w:r>
      <w:r w:rsidR="0007685C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i/ili, kada je primjenjivo, SoF-ova između TPFI</w:t>
      </w:r>
      <w:r w:rsidR="0007685C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i FP</w:t>
      </w:r>
      <w:r w:rsidR="00FD3BF7" w:rsidRPr="00441E95">
        <w:rPr>
          <w:rFonts w:ascii="Times New Roman" w:hAnsi="Times New Roman"/>
          <w:noProof w:val="0"/>
          <w:sz w:val="24"/>
          <w:lang w:eastAsia="hr-HR"/>
        </w:rPr>
        <w:t>-a</w:t>
      </w:r>
      <w:r w:rsidRPr="00441E95">
        <w:rPr>
          <w:rFonts w:ascii="Times New Roman" w:hAnsi="Times New Roman"/>
          <w:noProof w:val="0"/>
          <w:sz w:val="24"/>
          <w:lang w:eastAsia="hr-HR"/>
        </w:rPr>
        <w:t>, odnosno uspostavom organizacijskih struktura koje ispunjavaju zahtjeve za provedbene zadatke FI</w:t>
      </w:r>
      <w:r w:rsidR="0007685C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Pr="00441E95">
        <w:rPr>
          <w:rFonts w:ascii="Times New Roman" w:hAnsi="Times New Roman"/>
          <w:noProof w:val="0"/>
          <w:sz w:val="24"/>
          <w:lang w:eastAsia="hr-HR"/>
        </w:rPr>
        <w:t>. TPFI provodi FI u skladu sa SoF-om sukladno strukturi i procedurama opisanim u svom PoP-u kojeg je odobrio UT</w:t>
      </w:r>
      <w:r w:rsidR="00103959" w:rsidRPr="00441E95">
        <w:rPr>
          <w:rFonts w:ascii="Times New Roman" w:hAnsi="Times New Roman"/>
          <w:noProof w:val="0"/>
          <w:sz w:val="24"/>
          <w:lang w:eastAsia="hr-HR"/>
        </w:rPr>
        <w:t>)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. </w:t>
      </w:r>
    </w:p>
    <w:p w14:paraId="1D8EA5D3" w14:textId="77777777" w:rsidR="00642217" w:rsidRPr="00441E95" w:rsidRDefault="00642217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047C4382" w14:textId="0C0EAC01" w:rsidR="00642217" w:rsidRPr="00441E95" w:rsidRDefault="00642217" w:rsidP="001A2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160"/>
        </w:tabs>
        <w:spacing w:before="0"/>
        <w:ind w:left="0" w:firstLine="0"/>
        <w:rPr>
          <w:rFonts w:ascii="Times New Roman" w:hAnsi="Times New Roman"/>
          <w:b/>
          <w:noProof w:val="0"/>
          <w:sz w:val="24"/>
          <w:lang w:eastAsia="hr-HR"/>
        </w:rPr>
      </w:pPr>
      <w:r w:rsidRPr="00441E95">
        <w:rPr>
          <w:rFonts w:ascii="Times New Roman" w:hAnsi="Times New Roman"/>
          <w:b/>
          <w:noProof w:val="0"/>
          <w:sz w:val="24"/>
          <w:lang w:eastAsia="hr-HR"/>
        </w:rPr>
        <w:t>7.3. Provedba FI</w:t>
      </w:r>
      <w:r w:rsidR="007F5717" w:rsidRPr="00441E95">
        <w:rPr>
          <w:rFonts w:ascii="Times New Roman" w:hAnsi="Times New Roman"/>
          <w:b/>
          <w:noProof w:val="0"/>
          <w:sz w:val="24"/>
          <w:lang w:eastAsia="hr-HR"/>
        </w:rPr>
        <w:t>-ja</w:t>
      </w:r>
    </w:p>
    <w:p w14:paraId="2E367A04" w14:textId="77777777" w:rsidR="00642217" w:rsidRPr="00441E95" w:rsidRDefault="00642217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b/>
          <w:noProof w:val="0"/>
          <w:sz w:val="24"/>
          <w:lang w:eastAsia="hr-HR"/>
        </w:rPr>
      </w:pPr>
    </w:p>
    <w:p w14:paraId="7AF3B03C" w14:textId="329C79B1" w:rsidR="00642217" w:rsidRPr="00441E95" w:rsidRDefault="00642217" w:rsidP="00756655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>Provedba uključuje:</w:t>
      </w:r>
    </w:p>
    <w:p w14:paraId="37F53E96" w14:textId="77777777" w:rsidR="001D5402" w:rsidRPr="00441E95" w:rsidRDefault="001D5402" w:rsidP="00756655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71BCE441" w14:textId="75F9CAF3" w:rsidR="00642217" w:rsidRPr="00441E95" w:rsidRDefault="00642217" w:rsidP="00756655">
      <w:pPr>
        <w:pStyle w:val="ListParagraph"/>
        <w:numPr>
          <w:ilvl w:val="0"/>
          <w:numId w:val="21"/>
        </w:numPr>
        <w:spacing w:before="0"/>
        <w:jc w:val="both"/>
        <w:rPr>
          <w:rFonts w:ascii="Times New Roman" w:hAnsi="Times New Roman"/>
          <w:noProof w:val="0"/>
          <w:sz w:val="24"/>
        </w:rPr>
      </w:pPr>
      <w:r w:rsidRPr="00441E95">
        <w:rPr>
          <w:rFonts w:ascii="Times New Roman" w:eastAsia="Arial,Calibri" w:hAnsi="Times New Roman"/>
          <w:bCs/>
          <w:noProof w:val="0"/>
          <w:sz w:val="24"/>
          <w:u w:val="single"/>
          <w:lang w:eastAsia="hr-HR"/>
        </w:rPr>
        <w:t>uspostavu provedbene strukture FI</w:t>
      </w:r>
      <w:r w:rsidR="0007685C" w:rsidRPr="00441E95">
        <w:rPr>
          <w:rFonts w:ascii="Times New Roman" w:eastAsia="Arial,Calibri" w:hAnsi="Times New Roman"/>
          <w:bCs/>
          <w:noProof w:val="0"/>
          <w:sz w:val="24"/>
          <w:u w:val="single"/>
          <w:lang w:eastAsia="hr-HR"/>
        </w:rPr>
        <w:t>-ja</w:t>
      </w:r>
      <w:r w:rsidRPr="00441E95">
        <w:rPr>
          <w:rFonts w:ascii="Times New Roman" w:eastAsia="Arial,Calibri" w:hAnsi="Times New Roman"/>
          <w:bCs/>
          <w:noProof w:val="0"/>
          <w:sz w:val="24"/>
          <w:u w:val="single"/>
          <w:lang w:eastAsia="hr-HR"/>
        </w:rPr>
        <w:t xml:space="preserve"> na razini FP-a</w:t>
      </w:r>
      <w:r w:rsidR="00433A01">
        <w:rPr>
          <w:rFonts w:ascii="Times New Roman" w:hAnsi="Times New Roman"/>
          <w:noProof w:val="0"/>
          <w:sz w:val="24"/>
          <w:lang w:eastAsia="hr-HR"/>
        </w:rPr>
        <w:t>: o</w:t>
      </w:r>
      <w:r w:rsidRPr="00441E95">
        <w:rPr>
          <w:rFonts w:ascii="Times New Roman" w:hAnsi="Times New Roman"/>
          <w:noProof w:val="0"/>
          <w:sz w:val="24"/>
          <w:lang w:eastAsia="hr-HR"/>
        </w:rPr>
        <w:t>visno o odabranom modelu provedbe</w:t>
      </w:r>
      <w:r w:rsidR="001858E8" w:rsidRPr="00441E95">
        <w:rPr>
          <w:rFonts w:ascii="Times New Roman" w:hAnsi="Times New Roman"/>
          <w:noProof w:val="0"/>
          <w:sz w:val="24"/>
          <w:lang w:eastAsia="hr-HR"/>
        </w:rPr>
        <w:t>,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</w:t>
      </w:r>
      <w:r w:rsidRPr="00441E95">
        <w:rPr>
          <w:rFonts w:ascii="Times New Roman" w:hAnsi="Times New Roman"/>
          <w:noProof w:val="0"/>
          <w:sz w:val="24"/>
        </w:rPr>
        <w:t>TPFI</w:t>
      </w:r>
      <w:r w:rsidRPr="00441E95">
        <w:rPr>
          <w:rStyle w:val="FootnoteReference"/>
          <w:rFonts w:ascii="Times New Roman" w:hAnsi="Times New Roman"/>
          <w:noProof w:val="0"/>
          <w:sz w:val="24"/>
        </w:rPr>
        <w:footnoteReference w:id="19"/>
      </w:r>
      <w:r w:rsidRPr="00441E95">
        <w:rPr>
          <w:rFonts w:ascii="Times New Roman" w:hAnsi="Times New Roman"/>
          <w:noProof w:val="0"/>
          <w:sz w:val="24"/>
        </w:rPr>
        <w:t xml:space="preserve"> provedbene zadatke FI-</w:t>
      </w:r>
      <w:r w:rsidR="003C0C59" w:rsidRPr="00441E95">
        <w:rPr>
          <w:rFonts w:ascii="Times New Roman" w:hAnsi="Times New Roman"/>
          <w:noProof w:val="0"/>
          <w:sz w:val="24"/>
        </w:rPr>
        <w:t>j</w:t>
      </w:r>
      <w:r w:rsidRPr="00441E95">
        <w:rPr>
          <w:rFonts w:ascii="Times New Roman" w:hAnsi="Times New Roman"/>
          <w:noProof w:val="0"/>
          <w:sz w:val="24"/>
        </w:rPr>
        <w:t>a može ispunjavati na dva načina:</w:t>
      </w:r>
    </w:p>
    <w:p w14:paraId="768D988E" w14:textId="39AD88C4" w:rsidR="00642217" w:rsidRPr="00441E95" w:rsidRDefault="00642217" w:rsidP="00756655">
      <w:pPr>
        <w:pStyle w:val="ListParagraph"/>
        <w:numPr>
          <w:ilvl w:val="0"/>
          <w:numId w:val="13"/>
        </w:numPr>
        <w:spacing w:before="0"/>
        <w:ind w:left="1134"/>
        <w:jc w:val="both"/>
        <w:rPr>
          <w:rFonts w:ascii="Times New Roman" w:hAnsi="Times New Roman"/>
          <w:noProof w:val="0"/>
          <w:sz w:val="24"/>
        </w:rPr>
      </w:pPr>
      <w:r w:rsidRPr="00441E95">
        <w:rPr>
          <w:rFonts w:ascii="Times New Roman" w:hAnsi="Times New Roman"/>
          <w:noProof w:val="0"/>
          <w:sz w:val="24"/>
        </w:rPr>
        <w:lastRenderedPageBreak/>
        <w:t>izravno, u kojem slučaju prema KP</w:t>
      </w:r>
      <w:r w:rsidR="0007685C" w:rsidRPr="00441E95">
        <w:rPr>
          <w:rFonts w:ascii="Times New Roman" w:hAnsi="Times New Roman"/>
          <w:noProof w:val="0"/>
          <w:sz w:val="24"/>
        </w:rPr>
        <w:t>-u</w:t>
      </w:r>
      <w:r w:rsidRPr="00441E95">
        <w:rPr>
          <w:rFonts w:ascii="Times New Roman" w:hAnsi="Times New Roman"/>
          <w:noProof w:val="0"/>
          <w:sz w:val="24"/>
        </w:rPr>
        <w:t xml:space="preserve"> nastupa u svojstvu FP</w:t>
      </w:r>
      <w:r w:rsidR="0007685C" w:rsidRPr="00441E95">
        <w:rPr>
          <w:rFonts w:ascii="Times New Roman" w:hAnsi="Times New Roman"/>
          <w:noProof w:val="0"/>
          <w:sz w:val="24"/>
        </w:rPr>
        <w:t>-a</w:t>
      </w:r>
      <w:r w:rsidRPr="00441E95">
        <w:rPr>
          <w:rFonts w:ascii="Times New Roman" w:hAnsi="Times New Roman"/>
          <w:noProof w:val="0"/>
          <w:sz w:val="24"/>
        </w:rPr>
        <w:t>;</w:t>
      </w:r>
    </w:p>
    <w:p w14:paraId="31228509" w14:textId="24F5A791" w:rsidR="00642217" w:rsidRPr="00441E95" w:rsidRDefault="00642217" w:rsidP="00B33271">
      <w:pPr>
        <w:pStyle w:val="ListParagraph"/>
        <w:numPr>
          <w:ilvl w:val="0"/>
          <w:numId w:val="13"/>
        </w:numPr>
        <w:spacing w:before="0"/>
        <w:ind w:left="1134"/>
        <w:jc w:val="both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</w:rPr>
        <w:t>posredno, putem FF</w:t>
      </w:r>
      <w:r w:rsidR="0007685C" w:rsidRPr="00441E95">
        <w:rPr>
          <w:rFonts w:ascii="Times New Roman" w:hAnsi="Times New Roman"/>
          <w:noProof w:val="0"/>
          <w:sz w:val="24"/>
        </w:rPr>
        <w:t>-a</w:t>
      </w:r>
      <w:r w:rsidRPr="00441E95">
        <w:rPr>
          <w:rFonts w:ascii="Times New Roman" w:hAnsi="Times New Roman"/>
          <w:noProof w:val="0"/>
          <w:sz w:val="24"/>
        </w:rPr>
        <w:t xml:space="preserve"> odnosno putem FP</w:t>
      </w:r>
      <w:r w:rsidR="0007685C" w:rsidRPr="00441E95">
        <w:rPr>
          <w:rFonts w:ascii="Times New Roman" w:hAnsi="Times New Roman"/>
          <w:noProof w:val="0"/>
          <w:sz w:val="24"/>
        </w:rPr>
        <w:t>-a</w:t>
      </w:r>
      <w:r w:rsidR="00E15104" w:rsidRPr="00441E95">
        <w:rPr>
          <w:rFonts w:ascii="Times New Roman" w:hAnsi="Times New Roman"/>
          <w:noProof w:val="0"/>
          <w:sz w:val="24"/>
        </w:rPr>
        <w:t>.</w:t>
      </w:r>
    </w:p>
    <w:p w14:paraId="14567114" w14:textId="75DA36C2" w:rsidR="000725B5" w:rsidRPr="00441E95" w:rsidRDefault="000725B5" w:rsidP="00756655">
      <w:pPr>
        <w:tabs>
          <w:tab w:val="clear" w:pos="2160"/>
        </w:tabs>
        <w:spacing w:before="0"/>
        <w:ind w:left="36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>TPFI formira financijske proizvode koji će se financirati iz FI-</w:t>
      </w:r>
      <w:r w:rsidR="003C0C59" w:rsidRPr="00441E95">
        <w:rPr>
          <w:rFonts w:ascii="Times New Roman" w:hAnsi="Times New Roman"/>
          <w:noProof w:val="0"/>
          <w:sz w:val="24"/>
          <w:lang w:eastAsia="hr-HR"/>
        </w:rPr>
        <w:t>j</w:t>
      </w:r>
      <w:r w:rsidRPr="00441E95">
        <w:rPr>
          <w:rFonts w:ascii="Times New Roman" w:hAnsi="Times New Roman"/>
          <w:noProof w:val="0"/>
          <w:sz w:val="24"/>
          <w:lang w:eastAsia="hr-HR"/>
        </w:rPr>
        <w:t>a, a tijelo koje nastupa u ulozi FP</w:t>
      </w:r>
      <w:r w:rsidR="00D225FF" w:rsidRPr="00441E95">
        <w:rPr>
          <w:rFonts w:ascii="Times New Roman" w:hAnsi="Times New Roman"/>
          <w:noProof w:val="0"/>
          <w:sz w:val="24"/>
          <w:lang w:eastAsia="hr-HR"/>
        </w:rPr>
        <w:t>-a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izrađuje procedure za odabir investicija. U slučaju posredne provedbe putem FP</w:t>
      </w:r>
      <w:r w:rsidR="0007685C" w:rsidRPr="00441E95">
        <w:rPr>
          <w:rFonts w:ascii="Times New Roman" w:hAnsi="Times New Roman"/>
          <w:noProof w:val="0"/>
          <w:sz w:val="24"/>
          <w:lang w:eastAsia="hr-HR"/>
        </w:rPr>
        <w:t>-a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, FP se bira na osnovi otvorenih, transparentnih, </w:t>
      </w:r>
      <w:r w:rsidR="00D225FF" w:rsidRPr="00441E95">
        <w:rPr>
          <w:rFonts w:ascii="Times New Roman" w:hAnsi="Times New Roman"/>
          <w:noProof w:val="0"/>
          <w:sz w:val="24"/>
          <w:lang w:eastAsia="hr-HR"/>
        </w:rPr>
        <w:t xml:space="preserve">razmjernih </w:t>
      </w:r>
      <w:r w:rsidRPr="00441E95">
        <w:rPr>
          <w:rFonts w:ascii="Times New Roman" w:hAnsi="Times New Roman"/>
          <w:noProof w:val="0"/>
          <w:sz w:val="24"/>
          <w:lang w:eastAsia="hr-HR"/>
        </w:rPr>
        <w:t>i nediskriminirajućih postupak</w:t>
      </w:r>
      <w:r w:rsidR="00642217" w:rsidRPr="00441E95">
        <w:rPr>
          <w:rFonts w:ascii="Times New Roman" w:hAnsi="Times New Roman"/>
          <w:noProof w:val="0"/>
          <w:sz w:val="24"/>
          <w:lang w:eastAsia="hr-HR"/>
        </w:rPr>
        <w:t xml:space="preserve">a, </w:t>
      </w:r>
      <w:r w:rsidR="00D225FF" w:rsidRPr="00441E95">
        <w:rPr>
          <w:rFonts w:ascii="Times New Roman" w:hAnsi="Times New Roman"/>
          <w:noProof w:val="0"/>
          <w:sz w:val="24"/>
          <w:lang w:eastAsia="hr-HR"/>
        </w:rPr>
        <w:t xml:space="preserve">pri čemu se </w:t>
      </w:r>
      <w:r w:rsidR="00642217" w:rsidRPr="00441E95">
        <w:rPr>
          <w:rFonts w:ascii="Times New Roman" w:hAnsi="Times New Roman"/>
          <w:noProof w:val="0"/>
          <w:sz w:val="24"/>
          <w:lang w:eastAsia="hr-HR"/>
        </w:rPr>
        <w:t>izbjegavaju sukob</w:t>
      </w:r>
      <w:r w:rsidR="00D225FF" w:rsidRPr="00441E95">
        <w:rPr>
          <w:rFonts w:ascii="Times New Roman" w:hAnsi="Times New Roman"/>
          <w:noProof w:val="0"/>
          <w:sz w:val="24"/>
          <w:lang w:eastAsia="hr-HR"/>
        </w:rPr>
        <w:t>i</w:t>
      </w:r>
      <w:r w:rsidR="00642217" w:rsidRPr="00441E95">
        <w:rPr>
          <w:rFonts w:ascii="Times New Roman" w:hAnsi="Times New Roman"/>
          <w:noProof w:val="0"/>
          <w:sz w:val="24"/>
          <w:lang w:eastAsia="hr-HR"/>
        </w:rPr>
        <w:t xml:space="preserve"> interesa;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</w:t>
      </w:r>
    </w:p>
    <w:p w14:paraId="533CD8B1" w14:textId="77777777" w:rsidR="00642217" w:rsidRPr="00441E95" w:rsidRDefault="00642217" w:rsidP="00756655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6051E2A1" w14:textId="411E8F31" w:rsidR="000725B5" w:rsidRPr="00441E95" w:rsidRDefault="000725B5" w:rsidP="00756655">
      <w:pPr>
        <w:pStyle w:val="ListParagraph"/>
        <w:numPr>
          <w:ilvl w:val="0"/>
          <w:numId w:val="21"/>
        </w:numPr>
        <w:spacing w:before="0"/>
        <w:jc w:val="both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u w:val="single"/>
          <w:lang w:eastAsia="hr-HR"/>
        </w:rPr>
        <w:t>uputu UT-a u pogledu prihvatljivosti izdataka</w:t>
      </w:r>
      <w:r w:rsidR="00433A01">
        <w:rPr>
          <w:rFonts w:ascii="Times New Roman" w:hAnsi="Times New Roman"/>
          <w:noProof w:val="0"/>
          <w:sz w:val="24"/>
          <w:u w:val="single"/>
          <w:lang w:eastAsia="hr-HR"/>
        </w:rPr>
        <w:t>:</w:t>
      </w:r>
      <w:r w:rsidR="00433A01" w:rsidRPr="00433A01">
        <w:rPr>
          <w:rFonts w:ascii="Times New Roman" w:hAnsi="Times New Roman"/>
          <w:noProof w:val="0"/>
          <w:sz w:val="24"/>
          <w:lang w:eastAsia="hr-HR"/>
        </w:rPr>
        <w:t xml:space="preserve"> </w:t>
      </w:r>
      <w:r w:rsidR="00564261" w:rsidRPr="00441E95">
        <w:rPr>
          <w:rFonts w:ascii="Times New Roman" w:hAnsi="Times New Roman"/>
          <w:noProof w:val="0"/>
          <w:sz w:val="24"/>
          <w:lang w:eastAsia="hr-HR"/>
        </w:rPr>
        <w:t xml:space="preserve">UT donosi uputu o prihvatljivosti izdataka koji se financiraju </w:t>
      </w:r>
      <w:r w:rsidR="008F5432" w:rsidRPr="00441E95">
        <w:rPr>
          <w:rFonts w:ascii="Times New Roman" w:hAnsi="Times New Roman"/>
          <w:noProof w:val="0"/>
          <w:sz w:val="24"/>
          <w:lang w:eastAsia="hr-HR"/>
        </w:rPr>
        <w:t>FI-je</w:t>
      </w:r>
      <w:r w:rsidR="000513C2">
        <w:rPr>
          <w:rFonts w:ascii="Times New Roman" w:hAnsi="Times New Roman"/>
          <w:noProof w:val="0"/>
          <w:sz w:val="24"/>
          <w:lang w:eastAsia="hr-HR"/>
        </w:rPr>
        <w:t>vima</w:t>
      </w:r>
      <w:r w:rsidR="00642217" w:rsidRPr="00441E95">
        <w:rPr>
          <w:rFonts w:ascii="Times New Roman" w:hAnsi="Times New Roman"/>
          <w:noProof w:val="0"/>
          <w:sz w:val="24"/>
          <w:lang w:eastAsia="hr-HR"/>
        </w:rPr>
        <w:t xml:space="preserve"> u okviru OPKK;</w:t>
      </w:r>
    </w:p>
    <w:p w14:paraId="40701CA5" w14:textId="77777777" w:rsidR="00642217" w:rsidRPr="00441E95" w:rsidRDefault="00642217" w:rsidP="00756655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2807BDD6" w14:textId="3390CA58" w:rsidR="000725B5" w:rsidRPr="00441E95" w:rsidRDefault="001E0087" w:rsidP="00756655">
      <w:pPr>
        <w:pStyle w:val="ListParagraph"/>
        <w:numPr>
          <w:ilvl w:val="0"/>
          <w:numId w:val="21"/>
        </w:numPr>
        <w:spacing w:before="0"/>
        <w:jc w:val="both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u w:val="single"/>
          <w:lang w:eastAsia="hr-HR"/>
        </w:rPr>
        <w:t xml:space="preserve">pokretanje postupka odabira </w:t>
      </w:r>
      <w:r w:rsidR="000725B5" w:rsidRPr="00441E95">
        <w:rPr>
          <w:rFonts w:ascii="Times New Roman" w:hAnsi="Times New Roman"/>
          <w:noProof w:val="0"/>
          <w:sz w:val="24"/>
          <w:u w:val="single"/>
          <w:lang w:eastAsia="hr-HR"/>
        </w:rPr>
        <w:t>KP</w:t>
      </w:r>
      <w:r w:rsidR="0007685C" w:rsidRPr="00441E95">
        <w:rPr>
          <w:rFonts w:ascii="Times New Roman" w:hAnsi="Times New Roman"/>
          <w:noProof w:val="0"/>
          <w:sz w:val="24"/>
          <w:u w:val="single"/>
          <w:lang w:eastAsia="hr-HR"/>
        </w:rPr>
        <w:t>-a</w:t>
      </w:r>
      <w:r w:rsidR="000725B5" w:rsidRPr="00441E95">
        <w:rPr>
          <w:rFonts w:ascii="Times New Roman" w:hAnsi="Times New Roman"/>
          <w:noProof w:val="0"/>
          <w:sz w:val="24"/>
          <w:u w:val="single"/>
          <w:lang w:eastAsia="hr-HR"/>
        </w:rPr>
        <w:t xml:space="preserve"> koji će se financirati iz FI</w:t>
      </w:r>
      <w:r w:rsidR="0007685C" w:rsidRPr="00441E95">
        <w:rPr>
          <w:rFonts w:ascii="Times New Roman" w:hAnsi="Times New Roman"/>
          <w:noProof w:val="0"/>
          <w:sz w:val="24"/>
          <w:u w:val="single"/>
          <w:lang w:eastAsia="hr-HR"/>
        </w:rPr>
        <w:t>-ja</w:t>
      </w:r>
      <w:r w:rsidR="00433A01">
        <w:rPr>
          <w:rFonts w:ascii="Times New Roman" w:hAnsi="Times New Roman"/>
          <w:noProof w:val="0"/>
          <w:sz w:val="24"/>
          <w:u w:val="single"/>
          <w:lang w:eastAsia="hr-HR"/>
        </w:rPr>
        <w:t>: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 xml:space="preserve"> </w:t>
      </w:r>
      <w:r w:rsidR="00433A01">
        <w:rPr>
          <w:rFonts w:ascii="Times New Roman" w:hAnsi="Times New Roman"/>
          <w:noProof w:val="0"/>
          <w:sz w:val="24"/>
          <w:lang w:eastAsia="hr-HR"/>
        </w:rPr>
        <w:t>t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>ijelo koje nastupa u ulozi FP</w:t>
      </w:r>
      <w:r w:rsidR="0007685C" w:rsidRPr="00441E95">
        <w:rPr>
          <w:rFonts w:ascii="Times New Roman" w:hAnsi="Times New Roman"/>
          <w:noProof w:val="0"/>
          <w:sz w:val="24"/>
          <w:lang w:eastAsia="hr-HR"/>
        </w:rPr>
        <w:t>-a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 xml:space="preserve"> provodi javnu objavu otvorenog postupka dostave prijava za financiranje iz FI</w:t>
      </w:r>
      <w:r w:rsidR="0007685C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="00642217" w:rsidRPr="00441E95">
        <w:rPr>
          <w:rFonts w:ascii="Times New Roman" w:hAnsi="Times New Roman"/>
          <w:noProof w:val="0"/>
          <w:sz w:val="24"/>
          <w:lang w:eastAsia="hr-HR"/>
        </w:rPr>
        <w:t>;</w:t>
      </w:r>
    </w:p>
    <w:p w14:paraId="4C0A70B1" w14:textId="77777777" w:rsidR="00642217" w:rsidRPr="00441E95" w:rsidRDefault="00642217" w:rsidP="00756655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479207BF" w14:textId="2E115C17" w:rsidR="000725B5" w:rsidRPr="00441E95" w:rsidRDefault="000725B5" w:rsidP="00756655">
      <w:pPr>
        <w:pStyle w:val="ListParagraph"/>
        <w:numPr>
          <w:ilvl w:val="0"/>
          <w:numId w:val="21"/>
        </w:numPr>
        <w:spacing w:before="0"/>
        <w:jc w:val="both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u w:val="single"/>
          <w:lang w:eastAsia="hr-HR"/>
        </w:rPr>
        <w:t xml:space="preserve">zaprimanje, evidentiranje, obradu, i </w:t>
      </w:r>
      <w:r w:rsidR="001E0087" w:rsidRPr="00441E95">
        <w:rPr>
          <w:rFonts w:ascii="Times New Roman" w:hAnsi="Times New Roman"/>
          <w:noProof w:val="0"/>
          <w:sz w:val="24"/>
          <w:u w:val="single"/>
          <w:lang w:eastAsia="hr-HR"/>
        </w:rPr>
        <w:t xml:space="preserve">pohranu </w:t>
      </w:r>
      <w:r w:rsidRPr="00441E95">
        <w:rPr>
          <w:rFonts w:ascii="Times New Roman" w:hAnsi="Times New Roman"/>
          <w:noProof w:val="0"/>
          <w:sz w:val="24"/>
          <w:u w:val="single"/>
          <w:lang w:eastAsia="hr-HR"/>
        </w:rPr>
        <w:t xml:space="preserve">prijava </w:t>
      </w:r>
      <w:r w:rsidR="001E0087" w:rsidRPr="00441E95">
        <w:rPr>
          <w:rFonts w:ascii="Times New Roman" w:hAnsi="Times New Roman"/>
          <w:noProof w:val="0"/>
          <w:sz w:val="24"/>
          <w:u w:val="single"/>
          <w:lang w:eastAsia="hr-HR"/>
        </w:rPr>
        <w:t xml:space="preserve">te </w:t>
      </w:r>
      <w:r w:rsidRPr="00441E95">
        <w:rPr>
          <w:rFonts w:ascii="Times New Roman" w:hAnsi="Times New Roman"/>
          <w:noProof w:val="0"/>
          <w:sz w:val="24"/>
          <w:u w:val="single"/>
          <w:lang w:eastAsia="hr-HR"/>
        </w:rPr>
        <w:t xml:space="preserve">prigovora </w:t>
      </w:r>
      <w:r w:rsidR="001E0087" w:rsidRPr="00441E95">
        <w:rPr>
          <w:rFonts w:ascii="Times New Roman" w:hAnsi="Times New Roman"/>
          <w:noProof w:val="0"/>
          <w:sz w:val="24"/>
          <w:u w:val="single"/>
          <w:lang w:eastAsia="hr-HR"/>
        </w:rPr>
        <w:t>na odbijene prijave</w:t>
      </w:r>
      <w:r w:rsidR="00433A01">
        <w:rPr>
          <w:rFonts w:ascii="Times New Roman" w:hAnsi="Times New Roman"/>
          <w:noProof w:val="0"/>
          <w:sz w:val="24"/>
          <w:lang w:eastAsia="hr-HR"/>
        </w:rPr>
        <w:t>: t</w:t>
      </w:r>
      <w:r w:rsidRPr="00441E95">
        <w:rPr>
          <w:rFonts w:ascii="Times New Roman" w:hAnsi="Times New Roman"/>
          <w:noProof w:val="0"/>
          <w:sz w:val="24"/>
          <w:lang w:eastAsia="hr-HR"/>
        </w:rPr>
        <w:t>ijelo koje nastupa u ulozi TPFI</w:t>
      </w:r>
      <w:r w:rsidR="0007685C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zaprima prijave KP-a i provodi evidentiranje zaprimljenih prijava te postupak provjere prihvatljivosti KP-a u skladu s uvjetima korištenja FI</w:t>
      </w:r>
      <w:r w:rsidR="0007685C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Pr="00441E95">
        <w:rPr>
          <w:rFonts w:ascii="Times New Roman" w:hAnsi="Times New Roman"/>
          <w:noProof w:val="0"/>
          <w:sz w:val="24"/>
          <w:lang w:eastAsia="hr-HR"/>
        </w:rPr>
        <w:t>, kao i kvalitativnu pro</w:t>
      </w:r>
      <w:r w:rsidR="00642217" w:rsidRPr="00441E95">
        <w:rPr>
          <w:rFonts w:ascii="Times New Roman" w:hAnsi="Times New Roman"/>
          <w:noProof w:val="0"/>
          <w:sz w:val="24"/>
          <w:lang w:eastAsia="hr-HR"/>
        </w:rPr>
        <w:t>cjenu prijava;</w:t>
      </w:r>
    </w:p>
    <w:p w14:paraId="4840153C" w14:textId="77777777" w:rsidR="00642217" w:rsidRPr="00441E95" w:rsidRDefault="00642217" w:rsidP="00756655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5D7B7962" w14:textId="7BF6656C" w:rsidR="00642217" w:rsidRPr="00441E95" w:rsidRDefault="00642217" w:rsidP="00756655">
      <w:pPr>
        <w:pStyle w:val="ListParagraph"/>
        <w:numPr>
          <w:ilvl w:val="0"/>
          <w:numId w:val="21"/>
        </w:numPr>
        <w:spacing w:before="0"/>
        <w:jc w:val="both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u w:val="single"/>
          <w:lang w:eastAsia="hr-HR"/>
        </w:rPr>
        <w:t>potpisivanje ugovora o pružanju financijske potpore iz FI</w:t>
      </w:r>
      <w:r w:rsidR="0007685C" w:rsidRPr="00441E95">
        <w:rPr>
          <w:rFonts w:ascii="Times New Roman" w:hAnsi="Times New Roman"/>
          <w:noProof w:val="0"/>
          <w:sz w:val="24"/>
          <w:u w:val="single"/>
          <w:lang w:eastAsia="hr-HR"/>
        </w:rPr>
        <w:t>-ja</w:t>
      </w:r>
      <w:r w:rsidR="00433A01">
        <w:rPr>
          <w:rFonts w:ascii="Times New Roman" w:hAnsi="Times New Roman"/>
          <w:noProof w:val="0"/>
          <w:sz w:val="24"/>
          <w:lang w:eastAsia="hr-HR"/>
        </w:rPr>
        <w:t>: i</w:t>
      </w:r>
      <w:r w:rsidRPr="00441E95">
        <w:rPr>
          <w:rFonts w:ascii="Times New Roman" w:hAnsi="Times New Roman"/>
          <w:noProof w:val="0"/>
          <w:sz w:val="24"/>
          <w:lang w:eastAsia="hr-HR"/>
        </w:rPr>
        <w:t>zmeđu tijela koje nastupa u ulozi FP</w:t>
      </w:r>
      <w:r w:rsidR="0007685C" w:rsidRPr="00441E95">
        <w:rPr>
          <w:rFonts w:ascii="Times New Roman" w:hAnsi="Times New Roman"/>
          <w:noProof w:val="0"/>
          <w:sz w:val="24"/>
          <w:lang w:eastAsia="hr-HR"/>
        </w:rPr>
        <w:t>-a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i KP</w:t>
      </w:r>
      <w:r w:rsidR="0007685C" w:rsidRPr="00441E95">
        <w:rPr>
          <w:rFonts w:ascii="Times New Roman" w:hAnsi="Times New Roman"/>
          <w:noProof w:val="0"/>
          <w:sz w:val="24"/>
          <w:lang w:eastAsia="hr-HR"/>
        </w:rPr>
        <w:t>-a</w:t>
      </w:r>
      <w:r w:rsidRPr="00441E95">
        <w:rPr>
          <w:rFonts w:ascii="Times New Roman" w:hAnsi="Times New Roman"/>
          <w:noProof w:val="0"/>
          <w:sz w:val="24"/>
          <w:lang w:eastAsia="hr-HR"/>
        </w:rPr>
        <w:t>, koji sadrži informacije o KP-u, investiciji, te vrsti pružene potpore putem FI-</w:t>
      </w:r>
      <w:r w:rsidR="003C0C59" w:rsidRPr="00441E95">
        <w:rPr>
          <w:rFonts w:ascii="Times New Roman" w:hAnsi="Times New Roman"/>
          <w:noProof w:val="0"/>
          <w:sz w:val="24"/>
          <w:lang w:eastAsia="hr-HR"/>
        </w:rPr>
        <w:t>j</w:t>
      </w:r>
      <w:r w:rsidRPr="00441E95">
        <w:rPr>
          <w:rFonts w:ascii="Times New Roman" w:hAnsi="Times New Roman"/>
          <w:noProof w:val="0"/>
          <w:sz w:val="24"/>
          <w:lang w:eastAsia="hr-HR"/>
        </w:rPr>
        <w:t>a;</w:t>
      </w:r>
    </w:p>
    <w:p w14:paraId="64EC9597" w14:textId="77777777" w:rsidR="00642217" w:rsidRPr="00441E95" w:rsidRDefault="00642217" w:rsidP="00756655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6333BEC2" w14:textId="5BFF46DE" w:rsidR="00642217" w:rsidRPr="00441E95" w:rsidRDefault="00642217" w:rsidP="00756655">
      <w:pPr>
        <w:pStyle w:val="ListParagraph"/>
        <w:numPr>
          <w:ilvl w:val="0"/>
          <w:numId w:val="21"/>
        </w:numPr>
        <w:spacing w:before="0"/>
        <w:jc w:val="both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eastAsia="Arial,Calibri" w:hAnsi="Times New Roman"/>
          <w:bCs/>
          <w:noProof w:val="0"/>
          <w:sz w:val="24"/>
          <w:u w:val="single"/>
        </w:rPr>
        <w:t>objavu popisa ulaganja koja su dobila potporu iz FI</w:t>
      </w:r>
      <w:r w:rsidR="0007685C" w:rsidRPr="00441E95">
        <w:rPr>
          <w:rFonts w:ascii="Times New Roman" w:eastAsia="Arial,Calibri" w:hAnsi="Times New Roman"/>
          <w:bCs/>
          <w:noProof w:val="0"/>
          <w:sz w:val="24"/>
          <w:u w:val="single"/>
        </w:rPr>
        <w:t>-ja</w:t>
      </w:r>
      <w:r w:rsidR="00433A01">
        <w:rPr>
          <w:rFonts w:ascii="Times New Roman" w:hAnsi="Times New Roman"/>
          <w:noProof w:val="0"/>
          <w:sz w:val="24"/>
        </w:rPr>
        <w:t>: p</w:t>
      </w:r>
      <w:r w:rsidR="00756655" w:rsidRPr="00441E95">
        <w:rPr>
          <w:rFonts w:ascii="Times New Roman" w:hAnsi="Times New Roman"/>
          <w:noProof w:val="0"/>
          <w:sz w:val="24"/>
        </w:rPr>
        <w:t xml:space="preserve">opis se objavljuje </w:t>
      </w:r>
      <w:r w:rsidRPr="00441E95">
        <w:rPr>
          <w:rFonts w:ascii="Times New Roman" w:hAnsi="Times New Roman"/>
          <w:noProof w:val="0"/>
          <w:sz w:val="24"/>
        </w:rPr>
        <w:t>na mrežnim stranicama ESIF-a;</w:t>
      </w:r>
    </w:p>
    <w:p w14:paraId="532A10D0" w14:textId="77777777" w:rsidR="00642217" w:rsidRPr="00441E95" w:rsidRDefault="00642217" w:rsidP="00756655">
      <w:pPr>
        <w:tabs>
          <w:tab w:val="clear" w:pos="2160"/>
        </w:tabs>
        <w:spacing w:before="0"/>
        <w:contextualSpacing/>
        <w:rPr>
          <w:rFonts w:ascii="Times New Roman" w:eastAsia="Arial,Calibri" w:hAnsi="Times New Roman"/>
          <w:bCs/>
          <w:noProof w:val="0"/>
          <w:sz w:val="24"/>
        </w:rPr>
      </w:pPr>
    </w:p>
    <w:p w14:paraId="0FD3CA77" w14:textId="7DDC358B" w:rsidR="00467F1A" w:rsidRPr="00441E95" w:rsidRDefault="000725B5" w:rsidP="00756655">
      <w:pPr>
        <w:pStyle w:val="ListParagraph"/>
        <w:numPr>
          <w:ilvl w:val="0"/>
          <w:numId w:val="21"/>
        </w:numPr>
        <w:spacing w:before="0"/>
        <w:jc w:val="both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u w:val="single"/>
          <w:lang w:eastAsia="hr-HR"/>
        </w:rPr>
        <w:t>isplatu sredstava</w:t>
      </w:r>
      <w:r w:rsidR="00756655" w:rsidRPr="00441E95">
        <w:rPr>
          <w:rFonts w:ascii="Times New Roman" w:hAnsi="Times New Roman"/>
          <w:noProof w:val="0"/>
          <w:sz w:val="24"/>
          <w:u w:val="single"/>
          <w:lang w:eastAsia="hr-HR"/>
        </w:rPr>
        <w:t xml:space="preserve"> i računovodstvo</w:t>
      </w:r>
      <w:r w:rsidR="00756655" w:rsidRPr="00441E95">
        <w:rPr>
          <w:rFonts w:ascii="Times New Roman" w:hAnsi="Times New Roman"/>
          <w:noProof w:val="0"/>
          <w:sz w:val="24"/>
          <w:lang w:eastAsia="hr-HR"/>
        </w:rPr>
        <w:t>;</w:t>
      </w:r>
    </w:p>
    <w:p w14:paraId="4B0AF4F9" w14:textId="77777777" w:rsidR="00467F1A" w:rsidRPr="00441E95" w:rsidRDefault="00467F1A" w:rsidP="00756655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7E64C1B4" w14:textId="6E8F4A53" w:rsidR="00467F1A" w:rsidRPr="00441E95" w:rsidRDefault="00756655" w:rsidP="00756655">
      <w:pPr>
        <w:pStyle w:val="ListParagraph"/>
        <w:numPr>
          <w:ilvl w:val="0"/>
          <w:numId w:val="21"/>
        </w:numPr>
        <w:spacing w:before="0"/>
        <w:jc w:val="both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u w:val="single"/>
          <w:lang w:eastAsia="hr-HR"/>
        </w:rPr>
        <w:t>plaćanje prve tranše prema TPFI-ju/FP-</w:t>
      </w:r>
      <w:r w:rsidRPr="00433A01">
        <w:rPr>
          <w:rFonts w:ascii="Times New Roman" w:hAnsi="Times New Roman"/>
          <w:noProof w:val="0"/>
          <w:sz w:val="24"/>
          <w:u w:val="single"/>
          <w:lang w:eastAsia="hr-HR"/>
        </w:rPr>
        <w:t>u</w:t>
      </w:r>
      <w:r w:rsidR="00433A01">
        <w:rPr>
          <w:rFonts w:ascii="Times New Roman" w:hAnsi="Times New Roman"/>
          <w:noProof w:val="0"/>
          <w:sz w:val="24"/>
          <w:lang w:eastAsia="hr-HR"/>
        </w:rPr>
        <w:t>: n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>akon pokretanja FI</w:t>
      </w:r>
      <w:r w:rsidR="0007685C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="004B29AB" w:rsidRPr="00441E95">
        <w:rPr>
          <w:rFonts w:ascii="Times New Roman" w:hAnsi="Times New Roman"/>
          <w:noProof w:val="0"/>
          <w:sz w:val="24"/>
          <w:lang w:eastAsia="hr-HR"/>
        </w:rPr>
        <w:t>,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 xml:space="preserve"> odnosno potpisivanja SoF-a prve razine (između UT-a i TPFI</w:t>
      </w:r>
      <w:r w:rsidR="00A5481F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="000725B5" w:rsidRPr="00441E95">
        <w:rPr>
          <w:rFonts w:ascii="Times New Roman" w:hAnsi="Times New Roman"/>
          <w:noProof w:val="0"/>
          <w:sz w:val="24"/>
          <w:lang w:eastAsia="hr-HR"/>
        </w:rPr>
        <w:t xml:space="preserve">), TPFI podnosi prvi zahtjev za plaćanje UT-u, u skladu s realnim potrebama, prema financijskom planu i drugim prilozima SoF-a, izraženo u kunama. </w:t>
      </w:r>
      <w:r w:rsidRPr="00441E95">
        <w:rPr>
          <w:rFonts w:ascii="Times New Roman" w:hAnsi="Times New Roman"/>
          <w:noProof w:val="0"/>
          <w:sz w:val="24"/>
          <w:lang w:eastAsia="hr-HR"/>
        </w:rPr>
        <w:t>UT provodi provjeru zahtjeva za plaćanjem temeljem kontrolne liste za provjeru ispravnosti podnijetog zahtjeva za plaćanjem, te se odobrava isplata prve tranše programskog doprinosa sukladno SoF-u;</w:t>
      </w:r>
    </w:p>
    <w:p w14:paraId="4C3E4D2B" w14:textId="77777777" w:rsidR="00756655" w:rsidRPr="00441E95" w:rsidRDefault="00756655" w:rsidP="00756655">
      <w:pPr>
        <w:pStyle w:val="ListParagraph"/>
        <w:jc w:val="both"/>
        <w:rPr>
          <w:rFonts w:ascii="Times New Roman" w:hAnsi="Times New Roman"/>
          <w:noProof w:val="0"/>
          <w:sz w:val="24"/>
          <w:lang w:eastAsia="hr-HR"/>
        </w:rPr>
      </w:pPr>
    </w:p>
    <w:p w14:paraId="56C12F3E" w14:textId="3764CC77" w:rsidR="00756655" w:rsidRPr="00441E95" w:rsidRDefault="00756655" w:rsidP="00756655">
      <w:pPr>
        <w:pStyle w:val="ListParagraph"/>
        <w:numPr>
          <w:ilvl w:val="0"/>
          <w:numId w:val="21"/>
        </w:numPr>
        <w:spacing w:before="0"/>
        <w:jc w:val="both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u w:val="single"/>
          <w:lang w:eastAsia="hr-HR"/>
        </w:rPr>
        <w:t>plaćanje idućih tranši prema TPFI-ju/FP-u</w:t>
      </w:r>
      <w:r w:rsidR="00433A01">
        <w:rPr>
          <w:rFonts w:ascii="Times New Roman" w:hAnsi="Times New Roman"/>
          <w:noProof w:val="0"/>
          <w:sz w:val="24"/>
          <w:u w:val="single"/>
          <w:lang w:eastAsia="hr-HR"/>
        </w:rPr>
        <w:t xml:space="preserve">: 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TPFI koristi sredstva iz doznačene mu tranše te po iskorištenju postotka doznačene mu pod-tranše prema odredbama SoF-a, podnosi </w:t>
      </w:r>
      <w:r w:rsidRPr="00441E95">
        <w:rPr>
          <w:rFonts w:ascii="Times New Roman" w:hAnsi="Times New Roman"/>
          <w:noProof w:val="0"/>
          <w:sz w:val="24"/>
          <w:lang w:eastAsia="hr-HR"/>
        </w:rPr>
        <w:lastRenderedPageBreak/>
        <w:t>Zahtjev za plaćanjem prema UT-u. UT provodi upravljačke provjere po zaprimljenom Zahtjevu za plaćanje te se odobrava isplata druge i sljedećih tranši programskog doprinosa.</w:t>
      </w:r>
    </w:p>
    <w:p w14:paraId="73BA9279" w14:textId="77777777" w:rsidR="00642217" w:rsidRPr="00441E95" w:rsidRDefault="00642217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57922364" w14:textId="77777777" w:rsidR="00642217" w:rsidRPr="00441E95" w:rsidRDefault="00642217" w:rsidP="00B3027A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160"/>
        </w:tabs>
        <w:spacing w:before="0"/>
        <w:ind w:left="0" w:firstLine="0"/>
        <w:rPr>
          <w:rFonts w:ascii="Times New Roman" w:hAnsi="Times New Roman"/>
          <w:b/>
          <w:noProof w:val="0"/>
          <w:sz w:val="24"/>
          <w:lang w:eastAsia="hr-HR"/>
        </w:rPr>
      </w:pPr>
      <w:r w:rsidRPr="00441E95">
        <w:rPr>
          <w:rFonts w:ascii="Times New Roman" w:hAnsi="Times New Roman"/>
          <w:b/>
          <w:noProof w:val="0"/>
          <w:sz w:val="24"/>
          <w:lang w:eastAsia="hr-HR"/>
        </w:rPr>
        <w:t xml:space="preserve">7.4. Ovjeravanje </w:t>
      </w:r>
    </w:p>
    <w:p w14:paraId="1C64A1DA" w14:textId="77777777" w:rsidR="000725B5" w:rsidRPr="00441E95" w:rsidRDefault="000725B5" w:rsidP="00B3027A">
      <w:pPr>
        <w:ind w:left="0" w:firstLine="0"/>
        <w:contextualSpacing/>
        <w:rPr>
          <w:rFonts w:ascii="Times New Roman" w:eastAsia="Arial,Calibri" w:hAnsi="Times New Roman"/>
          <w:bCs/>
          <w:noProof w:val="0"/>
          <w:sz w:val="24"/>
        </w:rPr>
      </w:pPr>
    </w:p>
    <w:p w14:paraId="5BA1D899" w14:textId="625F6C41" w:rsidR="000725B5" w:rsidRPr="00FD3C33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FD3C33">
        <w:rPr>
          <w:rFonts w:ascii="Times New Roman" w:hAnsi="Times New Roman"/>
          <w:noProof w:val="0"/>
          <w:sz w:val="24"/>
          <w:lang w:eastAsia="hr-HR"/>
        </w:rPr>
        <w:t>UT prijavljuje izdatke povezane s provedbom FI</w:t>
      </w:r>
      <w:r w:rsidR="007C15D2" w:rsidRPr="00FD3C33">
        <w:rPr>
          <w:rFonts w:ascii="Times New Roman" w:hAnsi="Times New Roman"/>
          <w:noProof w:val="0"/>
          <w:sz w:val="24"/>
          <w:lang w:eastAsia="hr-HR"/>
        </w:rPr>
        <w:t>-ja</w:t>
      </w:r>
      <w:r w:rsidRPr="00FD3C33">
        <w:rPr>
          <w:rFonts w:ascii="Times New Roman" w:hAnsi="Times New Roman"/>
          <w:noProof w:val="0"/>
          <w:sz w:val="24"/>
          <w:lang w:eastAsia="hr-HR"/>
        </w:rPr>
        <w:t xml:space="preserve"> u skladu sa sljedećim uvjetima:</w:t>
      </w:r>
    </w:p>
    <w:p w14:paraId="6AFF4C75" w14:textId="77777777" w:rsidR="00642217" w:rsidRPr="00FD3C33" w:rsidRDefault="00642217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5F250D67" w14:textId="071817C7" w:rsidR="00642217" w:rsidRPr="00FD3C33" w:rsidRDefault="00642217" w:rsidP="008D4042">
      <w:pPr>
        <w:pStyle w:val="ListParagraph"/>
        <w:numPr>
          <w:ilvl w:val="1"/>
          <w:numId w:val="9"/>
        </w:numPr>
        <w:spacing w:before="0" w:after="0"/>
        <w:ind w:left="426"/>
        <w:rPr>
          <w:rFonts w:ascii="Times New Roman" w:eastAsia="Arial,Calibri" w:hAnsi="Times New Roman"/>
          <w:bCs/>
          <w:noProof w:val="0"/>
          <w:sz w:val="24"/>
        </w:rPr>
      </w:pPr>
      <w:r w:rsidRPr="00FD3C33">
        <w:rPr>
          <w:rFonts w:ascii="Times New Roman" w:eastAsia="Arial,Calibri" w:hAnsi="Times New Roman"/>
          <w:bCs/>
          <w:noProof w:val="0"/>
          <w:sz w:val="24"/>
        </w:rPr>
        <w:t xml:space="preserve">iznos programskog doprinosa plaćenog </w:t>
      </w:r>
      <w:r w:rsidR="008F5432" w:rsidRPr="00FD3C33">
        <w:rPr>
          <w:rFonts w:ascii="Times New Roman" w:eastAsia="Arial,Calibri" w:hAnsi="Times New Roman"/>
          <w:bCs/>
          <w:noProof w:val="0"/>
          <w:sz w:val="24"/>
        </w:rPr>
        <w:t>FI-ju</w:t>
      </w:r>
      <w:r w:rsidRPr="00FD3C33">
        <w:rPr>
          <w:rFonts w:ascii="Times New Roman" w:eastAsia="Arial,Calibri" w:hAnsi="Times New Roman"/>
          <w:bCs/>
          <w:noProof w:val="0"/>
          <w:sz w:val="24"/>
        </w:rPr>
        <w:t xml:space="preserve"> uključenom u svaki zahtjev za međuplaćanje prema EK</w:t>
      </w:r>
      <w:r w:rsidR="007C15D2" w:rsidRPr="00FD3C33">
        <w:rPr>
          <w:rFonts w:ascii="Times New Roman" w:eastAsia="Arial,Calibri" w:hAnsi="Times New Roman"/>
          <w:bCs/>
          <w:noProof w:val="0"/>
          <w:sz w:val="24"/>
        </w:rPr>
        <w:t>-u</w:t>
      </w:r>
      <w:r w:rsidRPr="00FD3C33">
        <w:rPr>
          <w:rFonts w:ascii="Times New Roman" w:eastAsia="Arial,Calibri" w:hAnsi="Times New Roman"/>
          <w:bCs/>
          <w:noProof w:val="0"/>
          <w:sz w:val="24"/>
        </w:rPr>
        <w:t xml:space="preserve"> podnesen tijekom razdoblja prihvatljivosti ne prelazi 25 % ukupnog iznosa programskih doprinosa odobrenih </w:t>
      </w:r>
      <w:r w:rsidR="008F5432" w:rsidRPr="00FD3C33">
        <w:rPr>
          <w:rFonts w:ascii="Times New Roman" w:eastAsia="Arial,Calibri" w:hAnsi="Times New Roman"/>
          <w:bCs/>
          <w:noProof w:val="0"/>
          <w:sz w:val="24"/>
        </w:rPr>
        <w:t>FI-ju</w:t>
      </w:r>
      <w:r w:rsidRPr="00FD3C33">
        <w:rPr>
          <w:rFonts w:ascii="Times New Roman" w:eastAsia="Arial,Calibri" w:hAnsi="Times New Roman"/>
          <w:bCs/>
          <w:noProof w:val="0"/>
          <w:sz w:val="24"/>
        </w:rPr>
        <w:t xml:space="preserve"> navedenom u SoF-u;</w:t>
      </w:r>
    </w:p>
    <w:p w14:paraId="2B800DA6" w14:textId="77777777" w:rsidR="00642217" w:rsidRPr="00FD3C33" w:rsidRDefault="00642217" w:rsidP="001A2AFF">
      <w:pPr>
        <w:tabs>
          <w:tab w:val="clear" w:pos="2160"/>
        </w:tabs>
        <w:spacing w:before="0"/>
        <w:ind w:left="0" w:firstLine="0"/>
        <w:rPr>
          <w:rFonts w:ascii="Times New Roman" w:eastAsia="Arial,Calibri" w:hAnsi="Times New Roman"/>
          <w:bCs/>
          <w:noProof w:val="0"/>
          <w:sz w:val="24"/>
        </w:rPr>
      </w:pPr>
    </w:p>
    <w:p w14:paraId="6A985BFD" w14:textId="4254DC0C" w:rsidR="00642217" w:rsidRPr="00FD3C33" w:rsidRDefault="00642217" w:rsidP="00EA6306">
      <w:pPr>
        <w:pStyle w:val="ListParagraph"/>
        <w:numPr>
          <w:ilvl w:val="1"/>
          <w:numId w:val="9"/>
        </w:numPr>
        <w:spacing w:before="0"/>
        <w:ind w:left="426"/>
        <w:rPr>
          <w:rFonts w:ascii="Times New Roman" w:eastAsia="Arial,Calibri" w:hAnsi="Times New Roman"/>
          <w:bCs/>
          <w:noProof w:val="0"/>
          <w:sz w:val="24"/>
        </w:rPr>
      </w:pPr>
      <w:r w:rsidRPr="00FD3C33">
        <w:rPr>
          <w:rFonts w:ascii="Times New Roman" w:eastAsia="Arial,Calibri" w:hAnsi="Times New Roman"/>
          <w:bCs/>
          <w:noProof w:val="0"/>
          <w:sz w:val="24"/>
        </w:rPr>
        <w:t>zahtjevi za međuplaćanje prema EK</w:t>
      </w:r>
      <w:r w:rsidR="007C15D2" w:rsidRPr="00FD3C33">
        <w:rPr>
          <w:rFonts w:ascii="Times New Roman" w:eastAsia="Arial,Calibri" w:hAnsi="Times New Roman"/>
          <w:bCs/>
          <w:noProof w:val="0"/>
          <w:sz w:val="24"/>
        </w:rPr>
        <w:t>-u</w:t>
      </w:r>
      <w:r w:rsidRPr="00FD3C33">
        <w:rPr>
          <w:rFonts w:ascii="Times New Roman" w:eastAsia="Arial,Calibri" w:hAnsi="Times New Roman"/>
          <w:bCs/>
          <w:noProof w:val="0"/>
          <w:sz w:val="24"/>
        </w:rPr>
        <w:t xml:space="preserve"> podneseni tijekom razdoblja prihvatljivosti izvršavaju se samo:</w:t>
      </w:r>
    </w:p>
    <w:p w14:paraId="720DEC12" w14:textId="77777777" w:rsidR="00642217" w:rsidRPr="00FD3C33" w:rsidRDefault="00642217" w:rsidP="00EA6306">
      <w:pPr>
        <w:pStyle w:val="ListParagraph"/>
        <w:numPr>
          <w:ilvl w:val="0"/>
          <w:numId w:val="12"/>
        </w:numPr>
        <w:spacing w:before="0"/>
        <w:ind w:left="851"/>
        <w:jc w:val="both"/>
        <w:rPr>
          <w:rFonts w:ascii="Times New Roman" w:hAnsi="Times New Roman"/>
          <w:noProof w:val="0"/>
          <w:sz w:val="24"/>
          <w:lang w:eastAsia="hr-HR"/>
        </w:rPr>
      </w:pPr>
      <w:r w:rsidRPr="00FD3C33">
        <w:rPr>
          <w:rFonts w:ascii="Times New Roman" w:eastAsia="Arial,Calibri" w:hAnsi="Times New Roman"/>
          <w:noProof w:val="0"/>
          <w:sz w:val="24"/>
          <w:lang w:eastAsia="hr-HR"/>
        </w:rPr>
        <w:t>za drugi zahtjev za međuplaćanje, kada je najmanje 60% iznosa uključenoga u prvi zahtjev za međuplaćanje potrošeno kao prihvatljiv izdatak;</w:t>
      </w:r>
    </w:p>
    <w:p w14:paraId="1B2675B6" w14:textId="77777777" w:rsidR="00642217" w:rsidRPr="00441E95" w:rsidRDefault="009265FE" w:rsidP="00EA6306">
      <w:pPr>
        <w:pStyle w:val="ListParagraph"/>
        <w:numPr>
          <w:ilvl w:val="0"/>
          <w:numId w:val="12"/>
        </w:numPr>
        <w:spacing w:before="0"/>
        <w:ind w:left="851"/>
        <w:jc w:val="both"/>
        <w:rPr>
          <w:rFonts w:ascii="Times New Roman" w:hAnsi="Times New Roman"/>
          <w:noProof w:val="0"/>
          <w:sz w:val="24"/>
          <w:lang w:eastAsia="hr-HR"/>
        </w:rPr>
      </w:pPr>
      <w:r w:rsidRPr="00FD3C33">
        <w:rPr>
          <w:rFonts w:ascii="Times New Roman" w:eastAsia="Arial,Calibri" w:hAnsi="Times New Roman"/>
          <w:noProof w:val="0"/>
          <w:sz w:val="24"/>
          <w:lang w:eastAsia="hr-HR"/>
        </w:rPr>
        <w:t>za treći zahtjev i sljedeće zahtjeve za međuplaćanja, kada je najmanje 85% iznosa uključenih u prethodne zahtjeve za</w:t>
      </w:r>
      <w:r w:rsidRPr="00441E95">
        <w:rPr>
          <w:rFonts w:ascii="Times New Roman" w:eastAsia="Arial,Calibri" w:hAnsi="Times New Roman"/>
          <w:noProof w:val="0"/>
          <w:sz w:val="24"/>
          <w:lang w:eastAsia="hr-HR"/>
        </w:rPr>
        <w:t xml:space="preserve"> međuplaćanja potrošeno kao prihvatljiv izdatak.</w:t>
      </w:r>
    </w:p>
    <w:p w14:paraId="2D7E94AB" w14:textId="5A4A5000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>Prijava izdataka provodi se prema odredbama ZNP-a br. 09 Ovjeravanje, u kojem se određuju specifičnosti prijavljivanja i ovjeravanja izdataka koji se odnose na FI, kao i postupanje TO</w:t>
      </w:r>
      <w:r w:rsidR="00575357" w:rsidRPr="00441E95">
        <w:rPr>
          <w:rFonts w:ascii="Times New Roman" w:hAnsi="Times New Roman"/>
          <w:noProof w:val="0"/>
          <w:sz w:val="24"/>
          <w:lang w:eastAsia="hr-HR"/>
        </w:rPr>
        <w:t>-a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u tom dijelu procesa. </w:t>
      </w:r>
    </w:p>
    <w:p w14:paraId="6C1A3DE2" w14:textId="77777777" w:rsidR="001A2AFF" w:rsidRPr="00441E95" w:rsidRDefault="001A2AFF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45C4F82B" w14:textId="4C8A9F63" w:rsidR="00125F28" w:rsidRPr="00441E95" w:rsidRDefault="00125F28" w:rsidP="00125F28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 xml:space="preserve">Mjesečna i tromjesečna izvješća o provedbi koja TPFI </w:t>
      </w:r>
      <w:r w:rsidR="00E03BF7" w:rsidRPr="00441E95">
        <w:rPr>
          <w:rFonts w:ascii="Times New Roman" w:hAnsi="Times New Roman"/>
          <w:noProof w:val="0"/>
          <w:sz w:val="24"/>
          <w:lang w:eastAsia="hr-HR"/>
        </w:rPr>
        <w:t xml:space="preserve">podnosi 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UT-u, a UT ih provjerava i odobrava u skladu s </w:t>
      </w:r>
      <w:r w:rsidR="00F53607" w:rsidRPr="00441E95">
        <w:rPr>
          <w:rFonts w:ascii="Times New Roman" w:hAnsi="Times New Roman"/>
          <w:noProof w:val="0"/>
          <w:sz w:val="24"/>
          <w:lang w:eastAsia="hr-HR"/>
        </w:rPr>
        <w:t xml:space="preserve">poglavljem 7.8. Postupak izvješćivanja </w:t>
      </w:r>
      <w:r w:rsidRPr="00441E95">
        <w:rPr>
          <w:rFonts w:ascii="Times New Roman" w:hAnsi="Times New Roman"/>
          <w:noProof w:val="0"/>
          <w:sz w:val="24"/>
          <w:lang w:eastAsia="hr-HR"/>
        </w:rPr>
        <w:t>ujedno predstavljaju redovne izjave ovjerene od strane odgovornih osoba TPFI</w:t>
      </w:r>
      <w:r w:rsidR="00575357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o točnosti navedenih podataka.</w:t>
      </w:r>
    </w:p>
    <w:p w14:paraId="30716735" w14:textId="77777777" w:rsidR="00125F28" w:rsidRPr="00441E95" w:rsidRDefault="00125F28" w:rsidP="00125F28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2214710F" w14:textId="7D11696F" w:rsidR="001A2AFF" w:rsidRPr="00441E95" w:rsidRDefault="00125F28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>Zadnja odobrena izvješća prije podnošenja Zahtjeva za plaćanje od strane TPFI</w:t>
      </w:r>
      <w:r w:rsidR="007C15D2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prema UT-u, a koja su bila predmet Upravljačke provjere od strane UT-a u skladu s</w:t>
      </w:r>
      <w:r w:rsidR="00F53607" w:rsidRPr="00441E95">
        <w:rPr>
          <w:rFonts w:ascii="Times New Roman" w:hAnsi="Times New Roman"/>
          <w:noProof w:val="0"/>
          <w:sz w:val="24"/>
          <w:lang w:eastAsia="hr-HR"/>
        </w:rPr>
        <w:t xml:space="preserve"> poglavljem 7.7. Praćenje i nadzor provedbe FI</w:t>
      </w:r>
      <w:r w:rsidR="00FA74BC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Pr="00441E95">
        <w:rPr>
          <w:rFonts w:ascii="Times New Roman" w:hAnsi="Times New Roman"/>
          <w:noProof w:val="0"/>
          <w:sz w:val="24"/>
          <w:lang w:eastAsia="hr-HR"/>
        </w:rPr>
        <w:t>, te koja sadrže kumulativne podatke o provedbi FI</w:t>
      </w:r>
      <w:r w:rsidR="00256D9D">
        <w:rPr>
          <w:rFonts w:ascii="Times New Roman" w:hAnsi="Times New Roman"/>
          <w:noProof w:val="0"/>
          <w:sz w:val="24"/>
          <w:lang w:eastAsia="hr-HR"/>
        </w:rPr>
        <w:t>-ja</w:t>
      </w:r>
      <w:r w:rsidRPr="00441E95">
        <w:rPr>
          <w:rFonts w:ascii="Times New Roman" w:hAnsi="Times New Roman"/>
          <w:noProof w:val="0"/>
          <w:sz w:val="24"/>
          <w:lang w:eastAsia="hr-HR"/>
        </w:rPr>
        <w:t>, unose se u MIS i/ili sustav eFondovi (a/p) kao popratni dokumenti.</w:t>
      </w:r>
    </w:p>
    <w:p w14:paraId="0542070C" w14:textId="77777777" w:rsidR="001A2AFF" w:rsidRPr="00441E95" w:rsidRDefault="001A2AFF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2F8CC292" w14:textId="3F9A125C" w:rsidR="009265FE" w:rsidRPr="00441E95" w:rsidRDefault="009265FE" w:rsidP="001A2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160"/>
        </w:tabs>
        <w:spacing w:before="0"/>
        <w:ind w:left="0" w:firstLine="0"/>
        <w:rPr>
          <w:rFonts w:ascii="Times New Roman" w:hAnsi="Times New Roman"/>
          <w:b/>
          <w:noProof w:val="0"/>
          <w:sz w:val="24"/>
          <w:lang w:eastAsia="hr-HR"/>
        </w:rPr>
      </w:pPr>
      <w:r w:rsidRPr="00441E95">
        <w:rPr>
          <w:rFonts w:ascii="Times New Roman" w:hAnsi="Times New Roman"/>
          <w:b/>
          <w:noProof w:val="0"/>
          <w:sz w:val="24"/>
          <w:lang w:eastAsia="hr-HR"/>
        </w:rPr>
        <w:t xml:space="preserve">7.5. </w:t>
      </w:r>
      <w:r w:rsidR="005C7D96" w:rsidRPr="00441E95">
        <w:rPr>
          <w:rFonts w:ascii="Times New Roman" w:hAnsi="Times New Roman"/>
          <w:b/>
          <w:noProof w:val="0"/>
          <w:sz w:val="24"/>
          <w:lang w:eastAsia="hr-HR"/>
        </w:rPr>
        <w:t>Vođenje r</w:t>
      </w:r>
      <w:r w:rsidRPr="00441E95">
        <w:rPr>
          <w:rFonts w:ascii="Times New Roman" w:hAnsi="Times New Roman"/>
          <w:b/>
          <w:noProof w:val="0"/>
          <w:sz w:val="24"/>
          <w:lang w:eastAsia="hr-HR"/>
        </w:rPr>
        <w:t>ačunovodstv</w:t>
      </w:r>
      <w:r w:rsidR="005C7D96" w:rsidRPr="00441E95">
        <w:rPr>
          <w:rFonts w:ascii="Times New Roman" w:hAnsi="Times New Roman"/>
          <w:b/>
          <w:noProof w:val="0"/>
          <w:sz w:val="24"/>
          <w:lang w:eastAsia="hr-HR"/>
        </w:rPr>
        <w:t>a</w:t>
      </w:r>
      <w:r w:rsidRPr="00441E95">
        <w:rPr>
          <w:rFonts w:ascii="Times New Roman" w:hAnsi="Times New Roman"/>
          <w:b/>
          <w:noProof w:val="0"/>
          <w:sz w:val="24"/>
          <w:lang w:eastAsia="hr-HR"/>
        </w:rPr>
        <w:t xml:space="preserve"> FI</w:t>
      </w:r>
      <w:r w:rsidR="00C71D41" w:rsidRPr="00441E95">
        <w:rPr>
          <w:rFonts w:ascii="Times New Roman" w:hAnsi="Times New Roman"/>
          <w:b/>
          <w:noProof w:val="0"/>
          <w:sz w:val="24"/>
          <w:lang w:eastAsia="hr-HR"/>
        </w:rPr>
        <w:t>-ja</w:t>
      </w:r>
    </w:p>
    <w:p w14:paraId="4611267E" w14:textId="77777777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1AFE863E" w14:textId="14BF2027" w:rsidR="00096E7A" w:rsidRPr="00441E95" w:rsidRDefault="00096E7A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>TPFI je po potpisivanju SoF-a, a prije prve uplate, dužan uspostaviti namjenski račun za svaki pojedini FI. Taj se račun vodi u nacionalnoj valuti, te se njime računovodstveno upravlja odvojeno od ostalih financijskih sredstava ili računa. UT, TPFI i PT1 čuvaju financijske i računovodstvene dokumente koji se odnose na doprinose OPKK-a isplaćene tijekom sedam godina od dana dovršetka FI-</w:t>
      </w:r>
      <w:r w:rsidR="003C0C59" w:rsidRPr="00441E95">
        <w:rPr>
          <w:rFonts w:ascii="Times New Roman" w:hAnsi="Times New Roman"/>
          <w:noProof w:val="0"/>
          <w:sz w:val="24"/>
          <w:lang w:eastAsia="hr-HR"/>
        </w:rPr>
        <w:t>j</w:t>
      </w:r>
      <w:r w:rsidRPr="00441E95">
        <w:rPr>
          <w:rFonts w:ascii="Times New Roman" w:hAnsi="Times New Roman"/>
          <w:noProof w:val="0"/>
          <w:sz w:val="24"/>
          <w:lang w:eastAsia="hr-HR"/>
        </w:rPr>
        <w:t>a, ili zaključivanja FI-</w:t>
      </w:r>
      <w:r w:rsidR="003C0C59" w:rsidRPr="00441E95">
        <w:rPr>
          <w:rFonts w:ascii="Times New Roman" w:hAnsi="Times New Roman"/>
          <w:noProof w:val="0"/>
          <w:sz w:val="24"/>
          <w:lang w:eastAsia="hr-HR"/>
        </w:rPr>
        <w:t>j</w:t>
      </w:r>
      <w:r w:rsidRPr="00441E95">
        <w:rPr>
          <w:rFonts w:ascii="Times New Roman" w:hAnsi="Times New Roman"/>
          <w:noProof w:val="0"/>
          <w:sz w:val="24"/>
          <w:lang w:eastAsia="hr-HR"/>
        </w:rPr>
        <w:t>a</w:t>
      </w:r>
      <w:r w:rsidR="00882357" w:rsidRPr="00441E95">
        <w:rPr>
          <w:rFonts w:ascii="Times New Roman" w:hAnsi="Times New Roman"/>
          <w:noProof w:val="0"/>
          <w:sz w:val="24"/>
          <w:lang w:eastAsia="hr-HR"/>
        </w:rPr>
        <w:t>,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ili okončanja SoF-a, ovisno o tome koje je od navedenih razdoblje dulje. </w:t>
      </w:r>
    </w:p>
    <w:p w14:paraId="3170C387" w14:textId="77777777" w:rsidR="009A0716" w:rsidRPr="00441E95" w:rsidRDefault="009A0716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4E09E510" w14:textId="03412BA6" w:rsidR="00096E7A" w:rsidRPr="00441E95" w:rsidRDefault="00096E7A" w:rsidP="001A2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160"/>
        </w:tabs>
        <w:spacing w:before="0"/>
        <w:ind w:left="0" w:firstLine="0"/>
        <w:rPr>
          <w:rFonts w:ascii="Times New Roman" w:hAnsi="Times New Roman"/>
          <w:b/>
          <w:noProof w:val="0"/>
          <w:sz w:val="24"/>
          <w:lang w:eastAsia="hr-HR"/>
        </w:rPr>
      </w:pPr>
      <w:r w:rsidRPr="00441E95">
        <w:rPr>
          <w:rFonts w:ascii="Times New Roman" w:eastAsia="Calibri" w:hAnsi="Times New Roman"/>
          <w:b/>
          <w:noProof w:val="0"/>
          <w:sz w:val="24"/>
          <w:lang w:eastAsia="hr-HR"/>
        </w:rPr>
        <w:t>7.6. Unos u MIS</w:t>
      </w:r>
      <w:r w:rsidR="005C7D96" w:rsidRPr="00441E95">
        <w:rPr>
          <w:rFonts w:ascii="Times New Roman" w:eastAsia="Calibri" w:hAnsi="Times New Roman"/>
          <w:b/>
          <w:noProof w:val="0"/>
          <w:sz w:val="24"/>
          <w:lang w:eastAsia="hr-HR"/>
        </w:rPr>
        <w:t xml:space="preserve"> i/ili </w:t>
      </w:r>
      <w:r w:rsidRPr="00441E95">
        <w:rPr>
          <w:rFonts w:ascii="Times New Roman" w:eastAsia="Calibri" w:hAnsi="Times New Roman"/>
          <w:b/>
          <w:noProof w:val="0"/>
          <w:sz w:val="24"/>
          <w:lang w:eastAsia="hr-HR"/>
        </w:rPr>
        <w:t>sustav eFondovi (a/p)</w:t>
      </w:r>
    </w:p>
    <w:p w14:paraId="6CA57A8A" w14:textId="77777777" w:rsidR="00096E7A" w:rsidRPr="00441E95" w:rsidRDefault="00096E7A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235AF745" w14:textId="058B14D4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lastRenderedPageBreak/>
        <w:t>UT i TPFI/FF u MIS</w:t>
      </w:r>
      <w:r w:rsidR="005C7D96" w:rsidRPr="00441E95">
        <w:rPr>
          <w:rFonts w:ascii="Times New Roman" w:hAnsi="Times New Roman"/>
          <w:noProof w:val="0"/>
          <w:sz w:val="24"/>
          <w:lang w:eastAsia="hr-HR"/>
        </w:rPr>
        <w:t xml:space="preserve"> i/ili </w:t>
      </w:r>
      <w:r w:rsidRPr="00441E95">
        <w:rPr>
          <w:rFonts w:ascii="Times New Roman" w:hAnsi="Times New Roman"/>
          <w:noProof w:val="0"/>
          <w:sz w:val="24"/>
          <w:lang w:eastAsia="hr-HR"/>
        </w:rPr>
        <w:t>sustav eFondovi unose podatke o plaćanjima za FI i druge podatke koji se odnose na provedbu i provjere.</w:t>
      </w:r>
    </w:p>
    <w:p w14:paraId="7661790C" w14:textId="41AE7534" w:rsidR="001D5402" w:rsidRPr="00441E95" w:rsidRDefault="001D5402">
      <w:pPr>
        <w:tabs>
          <w:tab w:val="clear" w:pos="2160"/>
        </w:tabs>
        <w:spacing w:before="0"/>
        <w:ind w:left="0" w:firstLine="0"/>
        <w:jc w:val="left"/>
        <w:rPr>
          <w:rFonts w:ascii="Times New Roman" w:hAnsi="Times New Roman"/>
          <w:b/>
          <w:noProof w:val="0"/>
          <w:sz w:val="24"/>
          <w:lang w:eastAsia="hr-HR"/>
        </w:rPr>
      </w:pPr>
    </w:p>
    <w:p w14:paraId="166F015F" w14:textId="566EDEAD" w:rsidR="00096E7A" w:rsidRPr="00441E95" w:rsidRDefault="00096E7A" w:rsidP="001A2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160"/>
        </w:tabs>
        <w:spacing w:before="0"/>
        <w:ind w:left="0" w:firstLine="0"/>
        <w:rPr>
          <w:rFonts w:ascii="Times New Roman" w:hAnsi="Times New Roman"/>
          <w:b/>
          <w:noProof w:val="0"/>
          <w:sz w:val="24"/>
          <w:lang w:eastAsia="hr-HR"/>
        </w:rPr>
      </w:pPr>
      <w:r w:rsidRPr="00441E95">
        <w:rPr>
          <w:rFonts w:ascii="Times New Roman" w:hAnsi="Times New Roman"/>
          <w:b/>
          <w:noProof w:val="0"/>
          <w:sz w:val="24"/>
          <w:lang w:eastAsia="hr-HR"/>
        </w:rPr>
        <w:t>7.7. Praćenje i nadzor provedbe FI</w:t>
      </w:r>
      <w:r w:rsidR="00C71D41" w:rsidRPr="00441E95">
        <w:rPr>
          <w:rFonts w:ascii="Times New Roman" w:hAnsi="Times New Roman"/>
          <w:b/>
          <w:noProof w:val="0"/>
          <w:sz w:val="24"/>
          <w:lang w:eastAsia="hr-HR"/>
        </w:rPr>
        <w:t>-ja</w:t>
      </w:r>
      <w:r w:rsidRPr="00441E95">
        <w:rPr>
          <w:rFonts w:ascii="Times New Roman" w:hAnsi="Times New Roman"/>
          <w:b/>
          <w:noProof w:val="0"/>
          <w:sz w:val="24"/>
          <w:lang w:eastAsia="hr-HR"/>
        </w:rPr>
        <w:t xml:space="preserve"> </w:t>
      </w:r>
    </w:p>
    <w:p w14:paraId="3B9458AD" w14:textId="77777777" w:rsidR="000725B5" w:rsidRPr="00441E95" w:rsidRDefault="000725B5" w:rsidP="001A2AFF">
      <w:pPr>
        <w:spacing w:line="256" w:lineRule="auto"/>
        <w:ind w:left="0" w:firstLine="0"/>
        <w:rPr>
          <w:rFonts w:ascii="Times New Roman" w:eastAsia="Arial,Calibri" w:hAnsi="Times New Roman"/>
          <w:bCs/>
          <w:noProof w:val="0"/>
          <w:sz w:val="24"/>
          <w:u w:val="single"/>
          <w:lang w:eastAsia="hr-HR"/>
        </w:rPr>
      </w:pPr>
    </w:p>
    <w:p w14:paraId="451AC368" w14:textId="43AACBB4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>Praćenje i nadzor provedbe FI</w:t>
      </w:r>
      <w:r w:rsidR="00433A5E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uključuje sljedeće faze:</w:t>
      </w:r>
    </w:p>
    <w:p w14:paraId="2EC74F77" w14:textId="77777777" w:rsidR="00096E7A" w:rsidRPr="00441E95" w:rsidRDefault="00096E7A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2F40442D" w14:textId="70D9AB78" w:rsidR="000725B5" w:rsidRPr="00441E95" w:rsidRDefault="00096E7A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b/>
          <w:noProof w:val="0"/>
          <w:sz w:val="24"/>
          <w:lang w:eastAsia="hr-HR"/>
        </w:rPr>
      </w:pPr>
      <w:r w:rsidRPr="00441E95">
        <w:rPr>
          <w:rFonts w:ascii="Times New Roman" w:hAnsi="Times New Roman"/>
          <w:b/>
          <w:noProof w:val="0"/>
          <w:sz w:val="24"/>
          <w:lang w:eastAsia="hr-HR"/>
        </w:rPr>
        <w:t xml:space="preserve">a) </w:t>
      </w:r>
      <w:r w:rsidR="00E6486B" w:rsidRPr="00441E95">
        <w:rPr>
          <w:rFonts w:ascii="Times New Roman" w:hAnsi="Times New Roman"/>
          <w:b/>
          <w:noProof w:val="0"/>
          <w:sz w:val="24"/>
          <w:lang w:eastAsia="hr-HR"/>
        </w:rPr>
        <w:t xml:space="preserve">uspostava </w:t>
      </w:r>
      <w:r w:rsidR="000725B5" w:rsidRPr="00441E95">
        <w:rPr>
          <w:rFonts w:ascii="Times New Roman" w:hAnsi="Times New Roman"/>
          <w:b/>
          <w:noProof w:val="0"/>
          <w:sz w:val="24"/>
          <w:lang w:eastAsia="hr-HR"/>
        </w:rPr>
        <w:t>i rad USFI</w:t>
      </w:r>
      <w:r w:rsidR="00983D9A" w:rsidRPr="00441E95">
        <w:rPr>
          <w:rFonts w:ascii="Times New Roman" w:hAnsi="Times New Roman"/>
          <w:b/>
          <w:noProof w:val="0"/>
          <w:sz w:val="24"/>
          <w:lang w:eastAsia="hr-HR"/>
        </w:rPr>
        <w:t>-ja</w:t>
      </w:r>
    </w:p>
    <w:p w14:paraId="4F8431D0" w14:textId="77777777" w:rsidR="00096E7A" w:rsidRPr="00441E95" w:rsidRDefault="00096E7A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1D77CCA2" w14:textId="6F95EFB8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>UT prati provedbu svih FI-</w:t>
      </w:r>
      <w:r w:rsidR="003C0C59" w:rsidRPr="00441E95">
        <w:rPr>
          <w:rFonts w:ascii="Times New Roman" w:hAnsi="Times New Roman"/>
          <w:noProof w:val="0"/>
          <w:sz w:val="24"/>
          <w:lang w:eastAsia="hr-HR"/>
        </w:rPr>
        <w:t>j</w:t>
      </w:r>
      <w:r w:rsidR="00433A5E" w:rsidRPr="00441E95">
        <w:rPr>
          <w:rFonts w:ascii="Times New Roman" w:hAnsi="Times New Roman"/>
          <w:noProof w:val="0"/>
          <w:sz w:val="24"/>
          <w:lang w:eastAsia="hr-HR"/>
        </w:rPr>
        <w:t>eva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putem USFI</w:t>
      </w:r>
      <w:r w:rsidR="003C0C59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Pr="00441E95">
        <w:rPr>
          <w:rFonts w:ascii="Times New Roman" w:hAnsi="Times New Roman"/>
          <w:noProof w:val="0"/>
          <w:sz w:val="24"/>
          <w:lang w:eastAsia="hr-HR"/>
        </w:rPr>
        <w:t>, na tromjesečnim sastancima. Način rada USFI-</w:t>
      </w:r>
      <w:r w:rsidR="003C0C59" w:rsidRPr="00441E95">
        <w:rPr>
          <w:rFonts w:ascii="Times New Roman" w:hAnsi="Times New Roman"/>
          <w:noProof w:val="0"/>
          <w:sz w:val="24"/>
          <w:lang w:eastAsia="hr-HR"/>
        </w:rPr>
        <w:t>j</w:t>
      </w:r>
      <w:r w:rsidRPr="00441E95">
        <w:rPr>
          <w:rFonts w:ascii="Times New Roman" w:hAnsi="Times New Roman"/>
          <w:noProof w:val="0"/>
          <w:sz w:val="24"/>
          <w:lang w:eastAsia="hr-HR"/>
        </w:rPr>
        <w:t>a opisan je PoP-om UT-a</w:t>
      </w:r>
      <w:r w:rsidRPr="00441E95">
        <w:rPr>
          <w:rFonts w:ascii="Times New Roman" w:hAnsi="Times New Roman"/>
          <w:noProof w:val="0"/>
          <w:vertAlign w:val="superscript"/>
        </w:rPr>
        <w:footnoteReference w:id="20"/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te je njegova osnovna odgovornost praćenje napretka provedbe svakog FI-</w:t>
      </w:r>
      <w:r w:rsidR="003C0C59" w:rsidRPr="00441E95">
        <w:rPr>
          <w:rFonts w:ascii="Times New Roman" w:hAnsi="Times New Roman"/>
          <w:noProof w:val="0"/>
          <w:sz w:val="24"/>
          <w:lang w:eastAsia="hr-HR"/>
        </w:rPr>
        <w:t>j</w:t>
      </w:r>
      <w:r w:rsidRPr="00441E95">
        <w:rPr>
          <w:rFonts w:ascii="Times New Roman" w:hAnsi="Times New Roman"/>
          <w:noProof w:val="0"/>
          <w:sz w:val="24"/>
          <w:lang w:eastAsia="hr-HR"/>
        </w:rPr>
        <w:t>a, kao i ostvarenih ciljnih rezultata i ključnih etapa te zalihe novih ulaganja svakog FI-</w:t>
      </w:r>
      <w:r w:rsidR="003C0C59" w:rsidRPr="00441E95">
        <w:rPr>
          <w:rFonts w:ascii="Times New Roman" w:hAnsi="Times New Roman"/>
          <w:noProof w:val="0"/>
          <w:sz w:val="24"/>
          <w:lang w:eastAsia="hr-HR"/>
        </w:rPr>
        <w:t>j</w:t>
      </w:r>
      <w:r w:rsidRPr="00441E95">
        <w:rPr>
          <w:rFonts w:ascii="Times New Roman" w:hAnsi="Times New Roman"/>
          <w:noProof w:val="0"/>
          <w:sz w:val="24"/>
          <w:lang w:eastAsia="hr-HR"/>
        </w:rPr>
        <w:t>a, te informiranje o rezultatima nadzora provedbe FI-</w:t>
      </w:r>
      <w:r w:rsidR="003C0C59" w:rsidRPr="00441E95">
        <w:rPr>
          <w:rFonts w:ascii="Times New Roman" w:hAnsi="Times New Roman"/>
          <w:noProof w:val="0"/>
          <w:sz w:val="24"/>
          <w:lang w:eastAsia="hr-HR"/>
        </w:rPr>
        <w:t>j</w:t>
      </w:r>
      <w:r w:rsidRPr="00441E95">
        <w:rPr>
          <w:rFonts w:ascii="Times New Roman" w:hAnsi="Times New Roman"/>
          <w:noProof w:val="0"/>
          <w:sz w:val="24"/>
          <w:lang w:eastAsia="hr-HR"/>
        </w:rPr>
        <w:t>a i revizijskih misija nad tijelima provedbenog sustava svakog FI-</w:t>
      </w:r>
      <w:r w:rsidR="003C0C59" w:rsidRPr="00441E95">
        <w:rPr>
          <w:rFonts w:ascii="Times New Roman" w:hAnsi="Times New Roman"/>
          <w:noProof w:val="0"/>
          <w:sz w:val="24"/>
          <w:lang w:eastAsia="hr-HR"/>
        </w:rPr>
        <w:t>j</w:t>
      </w:r>
      <w:r w:rsidRPr="00441E95">
        <w:rPr>
          <w:rFonts w:ascii="Times New Roman" w:hAnsi="Times New Roman"/>
          <w:noProof w:val="0"/>
          <w:sz w:val="24"/>
          <w:lang w:eastAsia="hr-HR"/>
        </w:rPr>
        <w:t>a. USFI je uključen i u postupak izmjene SoF-a, na način da daje prethodnu suglasnost za pokretanje postupka izmjene SoF-a.</w:t>
      </w:r>
    </w:p>
    <w:p w14:paraId="17F2350D" w14:textId="77777777" w:rsidR="000725B5" w:rsidRPr="00441E95" w:rsidRDefault="000725B5" w:rsidP="000B696F">
      <w:pPr>
        <w:ind w:left="0" w:firstLine="0"/>
        <w:contextualSpacing/>
        <w:rPr>
          <w:rFonts w:ascii="Times New Roman" w:eastAsia="Calibri" w:hAnsi="Times New Roman"/>
          <w:noProof w:val="0"/>
          <w:sz w:val="24"/>
          <w:lang w:eastAsia="hr-HR"/>
        </w:rPr>
      </w:pPr>
    </w:p>
    <w:p w14:paraId="46D5B000" w14:textId="661A58C8" w:rsidR="00F95014" w:rsidRPr="00441E95" w:rsidRDefault="000B696F" w:rsidP="000B696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b/>
          <w:noProof w:val="0"/>
          <w:sz w:val="24"/>
          <w:lang w:eastAsia="hr-HR"/>
        </w:rPr>
      </w:pPr>
      <w:r w:rsidRPr="00441E95">
        <w:rPr>
          <w:rFonts w:ascii="Times New Roman" w:hAnsi="Times New Roman"/>
          <w:b/>
          <w:noProof w:val="0"/>
          <w:sz w:val="24"/>
          <w:lang w:eastAsia="hr-HR"/>
        </w:rPr>
        <w:t xml:space="preserve">b) </w:t>
      </w:r>
      <w:r w:rsidR="000725B5" w:rsidRPr="00441E95">
        <w:rPr>
          <w:rFonts w:ascii="Times New Roman" w:hAnsi="Times New Roman"/>
          <w:b/>
          <w:noProof w:val="0"/>
          <w:sz w:val="24"/>
          <w:lang w:eastAsia="hr-HR"/>
        </w:rPr>
        <w:t>upravljačke provjere FI</w:t>
      </w:r>
      <w:r w:rsidR="005B7C97" w:rsidRPr="00441E95">
        <w:rPr>
          <w:rFonts w:ascii="Times New Roman" w:hAnsi="Times New Roman"/>
          <w:b/>
          <w:noProof w:val="0"/>
          <w:sz w:val="24"/>
          <w:lang w:eastAsia="hr-HR"/>
        </w:rPr>
        <w:t>-ja</w:t>
      </w:r>
    </w:p>
    <w:p w14:paraId="0308ACBA" w14:textId="77777777" w:rsidR="000B696F" w:rsidRPr="00441E95" w:rsidRDefault="000B696F" w:rsidP="000B696F">
      <w:pPr>
        <w:tabs>
          <w:tab w:val="clear" w:pos="2160"/>
        </w:tabs>
        <w:ind w:left="0" w:firstLine="0"/>
        <w:rPr>
          <w:noProof w:val="0"/>
          <w:lang w:eastAsia="hr-HR"/>
        </w:rPr>
      </w:pPr>
    </w:p>
    <w:p w14:paraId="0ECDBE61" w14:textId="1BCCE313" w:rsidR="00323981" w:rsidRPr="00441E95" w:rsidRDefault="00323981" w:rsidP="00323981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 xml:space="preserve">UT je </w:t>
      </w:r>
      <w:r w:rsidR="00713B06" w:rsidRPr="00441E95">
        <w:rPr>
          <w:rFonts w:ascii="Times New Roman" w:hAnsi="Times New Roman"/>
          <w:noProof w:val="0"/>
          <w:sz w:val="24"/>
          <w:lang w:eastAsia="hr-HR"/>
        </w:rPr>
        <w:t xml:space="preserve">odgovoran </w:t>
      </w:r>
      <w:r w:rsidRPr="00441E95">
        <w:rPr>
          <w:rFonts w:ascii="Times New Roman" w:hAnsi="Times New Roman"/>
          <w:noProof w:val="0"/>
          <w:sz w:val="24"/>
          <w:lang w:eastAsia="hr-HR"/>
        </w:rPr>
        <w:t>za provedbu upravljačkih provjera nad TPFI</w:t>
      </w:r>
      <w:r w:rsidR="005B7C97" w:rsidRPr="00441E95">
        <w:rPr>
          <w:rFonts w:ascii="Times New Roman" w:hAnsi="Times New Roman"/>
          <w:noProof w:val="0"/>
          <w:sz w:val="24"/>
          <w:lang w:eastAsia="hr-HR"/>
        </w:rPr>
        <w:t>-jem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i, ako je primjenjivo, FP</w:t>
      </w:r>
      <w:r w:rsidR="005B7C97" w:rsidRPr="00441E95">
        <w:rPr>
          <w:rFonts w:ascii="Times New Roman" w:hAnsi="Times New Roman"/>
          <w:noProof w:val="0"/>
          <w:sz w:val="24"/>
          <w:lang w:eastAsia="hr-HR"/>
        </w:rPr>
        <w:t>-om</w:t>
      </w:r>
      <w:r w:rsidRPr="00441E95">
        <w:rPr>
          <w:rFonts w:ascii="Times New Roman" w:hAnsi="Times New Roman"/>
          <w:noProof w:val="0"/>
          <w:sz w:val="24"/>
          <w:lang w:eastAsia="hr-HR"/>
        </w:rPr>
        <w:t>. Upravljačke provjere obavljaju se prvenstveno na</w:t>
      </w:r>
      <w:r w:rsidR="00EC010E" w:rsidRPr="00441E95">
        <w:rPr>
          <w:rFonts w:ascii="Times New Roman" w:hAnsi="Times New Roman"/>
          <w:noProof w:val="0"/>
          <w:sz w:val="24"/>
          <w:lang w:eastAsia="hr-HR"/>
        </w:rPr>
        <w:t>d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TPFI</w:t>
      </w:r>
      <w:r w:rsidR="005B7C97" w:rsidRPr="00441E95">
        <w:rPr>
          <w:rFonts w:ascii="Times New Roman" w:hAnsi="Times New Roman"/>
          <w:noProof w:val="0"/>
          <w:sz w:val="24"/>
          <w:lang w:eastAsia="hr-HR"/>
        </w:rPr>
        <w:t>-jem</w:t>
      </w:r>
      <w:r w:rsidRPr="00441E95">
        <w:rPr>
          <w:rFonts w:ascii="Times New Roman" w:hAnsi="Times New Roman"/>
          <w:noProof w:val="0"/>
          <w:sz w:val="24"/>
          <w:lang w:eastAsia="hr-HR"/>
        </w:rPr>
        <w:t>, a mogu se provoditi do razine FP-a i KP-a. Obavezno se provode prije odobrenja svakog zahtjeva za plaćanje kojeg TPFI podnosi UT-u, a najmanje jednom godišnje, i sastoje se od administrativnih provjera i provjera na licu mjesta te se odnose na uspostavu i provedbu pojedinoga FI-</w:t>
      </w:r>
      <w:r w:rsidR="003C0C59" w:rsidRPr="00441E95">
        <w:rPr>
          <w:rFonts w:ascii="Times New Roman" w:hAnsi="Times New Roman"/>
          <w:noProof w:val="0"/>
          <w:sz w:val="24"/>
          <w:lang w:eastAsia="hr-HR"/>
        </w:rPr>
        <w:t>j</w:t>
      </w:r>
      <w:r w:rsidRPr="00441E95">
        <w:rPr>
          <w:rFonts w:ascii="Times New Roman" w:hAnsi="Times New Roman"/>
          <w:noProof w:val="0"/>
          <w:sz w:val="24"/>
          <w:lang w:eastAsia="hr-HR"/>
        </w:rPr>
        <w:t>a. Upravljačkim provjerama provjeravaju se zakonitost i ispravnost provedbe FI</w:t>
      </w:r>
      <w:r w:rsidR="005B7C97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Pr="00441E95">
        <w:rPr>
          <w:rFonts w:ascii="Times New Roman" w:hAnsi="Times New Roman"/>
          <w:noProof w:val="0"/>
          <w:sz w:val="24"/>
          <w:lang w:eastAsia="hr-HR"/>
        </w:rPr>
        <w:t>, primjene načela dobrog financijskog upravljanja, čuvanja povjerene imovine i pouzdanog financijskog praćenja i izvještavanja u skladu sa Smjernicama EK za države članice o provjerama upravljanja i PoP-om UT-a.</w:t>
      </w:r>
    </w:p>
    <w:p w14:paraId="060D4291" w14:textId="77777777" w:rsidR="00323981" w:rsidRPr="00441E95" w:rsidRDefault="00323981" w:rsidP="00323981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45BF7869" w14:textId="7EE1FA26" w:rsidR="00323981" w:rsidRPr="00441E95" w:rsidRDefault="00323981" w:rsidP="00323981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>Nakon podnošenja prvog zahtjeva za plaćanje za pojedini FI, UT provodi upravljačke provjere uspostave FI</w:t>
      </w:r>
      <w:r w:rsidR="000B696F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Pr="00441E95">
        <w:rPr>
          <w:rFonts w:ascii="Times New Roman" w:hAnsi="Times New Roman"/>
          <w:noProof w:val="0"/>
          <w:sz w:val="24"/>
          <w:lang w:eastAsia="hr-HR"/>
        </w:rPr>
        <w:t>, čiji elementi okvirno obuhvaćaju kontrolno okruženje, kontrolne aktivnosti u pogledu informiranja i komunikacije, zatim predviđa li TPFI posebno izvještavanje UT</w:t>
      </w:r>
      <w:r w:rsidR="000B696F" w:rsidRPr="00441E95">
        <w:rPr>
          <w:rFonts w:ascii="Times New Roman" w:hAnsi="Times New Roman"/>
          <w:noProof w:val="0"/>
          <w:sz w:val="24"/>
          <w:lang w:eastAsia="hr-HR"/>
        </w:rPr>
        <w:t>-a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o načinu korištenja sredstava iz ESIF-a dodijeljenih FI</w:t>
      </w:r>
      <w:r w:rsidR="000B696F" w:rsidRPr="00441E95">
        <w:rPr>
          <w:rFonts w:ascii="Times New Roman" w:hAnsi="Times New Roman"/>
          <w:noProof w:val="0"/>
          <w:sz w:val="24"/>
          <w:lang w:eastAsia="hr-HR"/>
        </w:rPr>
        <w:t>-ju</w:t>
      </w:r>
      <w:r w:rsidRPr="00441E95">
        <w:rPr>
          <w:rFonts w:ascii="Times New Roman" w:hAnsi="Times New Roman"/>
          <w:noProof w:val="0"/>
          <w:sz w:val="24"/>
          <w:lang w:eastAsia="hr-HR"/>
        </w:rPr>
        <w:t>, ima li TPFI odgovarajuće računovodstveno praćenje provedbe FI</w:t>
      </w:r>
      <w:r w:rsidR="000B696F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tako što je otvorilo </w:t>
      </w:r>
      <w:r w:rsidR="00352E92" w:rsidRPr="00441E95">
        <w:rPr>
          <w:rFonts w:ascii="Times New Roman" w:hAnsi="Times New Roman"/>
          <w:noProof w:val="0"/>
          <w:sz w:val="24"/>
          <w:lang w:eastAsia="hr-HR"/>
        </w:rPr>
        <w:t>namjenski račun kod poslovne banke ili u vlastitom računovodstvenom sustavu otvorilo zasebni blok financija u kojem će pratiti FI</w:t>
      </w:r>
      <w:r w:rsidRPr="00441E95">
        <w:rPr>
          <w:rFonts w:ascii="Times New Roman" w:hAnsi="Times New Roman"/>
          <w:noProof w:val="0"/>
          <w:sz w:val="24"/>
          <w:lang w:eastAsia="hr-HR"/>
        </w:rPr>
        <w:t>, te ima li TPFI utvrđene kontrole primjene pravila o državnim potporama (Uredba o potporama malih vrijednosti i Uredba o općem skupnom izuzeću).</w:t>
      </w:r>
    </w:p>
    <w:p w14:paraId="5D7B35C6" w14:textId="77777777" w:rsidR="00323981" w:rsidRPr="00441E95" w:rsidRDefault="00323981" w:rsidP="00323981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5ACAE0C4" w14:textId="7F9AA147" w:rsidR="00323981" w:rsidRPr="00441E95" w:rsidRDefault="00323981" w:rsidP="00323981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>Nakon podnošenja svakog sljedećeg zahtjeva za plaćanje, UT provodi upravljačke provjere provedbe FI</w:t>
      </w:r>
      <w:r w:rsidR="000B696F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Pr="00441E95">
        <w:rPr>
          <w:rFonts w:ascii="Times New Roman" w:hAnsi="Times New Roman"/>
          <w:noProof w:val="0"/>
          <w:sz w:val="24"/>
          <w:lang w:eastAsia="hr-HR"/>
        </w:rPr>
        <w:t>, tako da se provjerava usklađenost s elementima SoF-a i  provedba poslovnog plana.</w:t>
      </w:r>
    </w:p>
    <w:p w14:paraId="341DB85D" w14:textId="77777777" w:rsidR="00323981" w:rsidRPr="00441E95" w:rsidRDefault="00323981" w:rsidP="00323981">
      <w:pPr>
        <w:tabs>
          <w:tab w:val="clear" w:pos="2160"/>
        </w:tabs>
        <w:spacing w:before="0"/>
        <w:ind w:left="0" w:firstLine="0"/>
        <w:rPr>
          <w:rFonts w:ascii="Times New Roman" w:hAnsi="Times New Roman"/>
          <w:b/>
          <w:noProof w:val="0"/>
          <w:sz w:val="24"/>
          <w:lang w:eastAsia="hr-HR"/>
        </w:rPr>
      </w:pPr>
    </w:p>
    <w:p w14:paraId="7336969B" w14:textId="3517F9BA" w:rsidR="00323981" w:rsidRPr="00441E95" w:rsidRDefault="00323981" w:rsidP="00323981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lastRenderedPageBreak/>
        <w:t>Upravljačke provjere provode se barem jednom godišnje za svaki pojedini FI te UT izrađuje do 30. studenog tekuće kalendarske godine Godišnji plan nadzora provedbe svih uspostavljenih FI-</w:t>
      </w:r>
      <w:r w:rsidR="00433A5E" w:rsidRPr="00441E95">
        <w:rPr>
          <w:rFonts w:ascii="Times New Roman" w:hAnsi="Times New Roman"/>
          <w:noProof w:val="0"/>
          <w:sz w:val="24"/>
          <w:lang w:eastAsia="hr-HR"/>
        </w:rPr>
        <w:t>jeva</w:t>
      </w:r>
      <w:r w:rsidRPr="00441E95">
        <w:rPr>
          <w:rFonts w:ascii="Times New Roman" w:hAnsi="Times New Roman"/>
          <w:noProof w:val="0"/>
          <w:sz w:val="24"/>
          <w:lang w:eastAsia="hr-HR"/>
        </w:rPr>
        <w:t>.</w:t>
      </w:r>
    </w:p>
    <w:p w14:paraId="103CBBD0" w14:textId="77777777" w:rsidR="00323981" w:rsidRPr="00441E95" w:rsidRDefault="00323981" w:rsidP="00323981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0553CDC0" w14:textId="61EE112E" w:rsidR="00724040" w:rsidRDefault="00323981" w:rsidP="00323981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>UT također provjerava ispravnost izdataka iz zahtjeva za plaćanje, odnosno kontrolira da se iznosi koje isplaćuje TPFI mogu prijaviti kao prihvatljivi rashodi u smislu članka 42. stavka 1. točk</w:t>
      </w:r>
      <w:r w:rsidR="00C00E7C" w:rsidRPr="00441E95">
        <w:rPr>
          <w:rFonts w:ascii="Times New Roman" w:hAnsi="Times New Roman"/>
          <w:noProof w:val="0"/>
          <w:sz w:val="24"/>
          <w:lang w:eastAsia="hr-HR"/>
        </w:rPr>
        <w:t>e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(a) (b) i (d) Uredbe (EU) br. 1303/2013 i članka 13. Delegirane uredbe (EU) br. 480/2014 koji definira pragove za troškove i naknade za upravljanje na temelju uzorka.</w:t>
      </w:r>
      <w:r w:rsidR="00724040">
        <w:rPr>
          <w:rFonts w:ascii="Times New Roman" w:hAnsi="Times New Roman"/>
          <w:noProof w:val="0"/>
          <w:sz w:val="24"/>
          <w:lang w:eastAsia="hr-HR"/>
        </w:rPr>
        <w:t>Određivanje uzorka detaljnije je propisano PoP-om.</w:t>
      </w:r>
    </w:p>
    <w:p w14:paraId="321DB0DC" w14:textId="4E495FC6" w:rsidR="00BE2A59" w:rsidRPr="00441E95" w:rsidRDefault="00BE2A59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3816C908" w14:textId="77777777" w:rsidR="004B25A6" w:rsidRPr="00441E95" w:rsidRDefault="004B25A6" w:rsidP="00D10E08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 xml:space="preserve">Odstupajući od </w:t>
      </w:r>
      <w:r w:rsidR="00784BE2" w:rsidRPr="00441E95">
        <w:rPr>
          <w:rFonts w:ascii="Times New Roman" w:hAnsi="Times New Roman"/>
          <w:noProof w:val="0"/>
          <w:sz w:val="24"/>
          <w:lang w:eastAsia="hr-HR"/>
        </w:rPr>
        <w:t xml:space="preserve">pravila o financijskim korekcijama </w:t>
      </w:r>
      <w:r w:rsidR="00E174F0" w:rsidRPr="00441E95">
        <w:rPr>
          <w:rFonts w:ascii="Times New Roman" w:hAnsi="Times New Roman"/>
          <w:noProof w:val="0"/>
          <w:sz w:val="24"/>
          <w:lang w:eastAsia="hr-HR"/>
        </w:rPr>
        <w:t xml:space="preserve">u nadležnosti DČ </w:t>
      </w:r>
      <w:r w:rsidR="00784BE2" w:rsidRPr="00441E95">
        <w:rPr>
          <w:rFonts w:ascii="Times New Roman" w:hAnsi="Times New Roman"/>
          <w:noProof w:val="0"/>
          <w:sz w:val="24"/>
          <w:lang w:eastAsia="hr-HR"/>
        </w:rPr>
        <w:t xml:space="preserve">(u smislu 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članka 143. stavka 4. </w:t>
      </w:r>
      <w:r w:rsidR="00784BE2" w:rsidRPr="00441E95">
        <w:rPr>
          <w:rFonts w:ascii="Times New Roman" w:hAnsi="Times New Roman"/>
          <w:noProof w:val="0"/>
          <w:sz w:val="24"/>
          <w:lang w:eastAsia="hr-HR"/>
        </w:rPr>
        <w:t xml:space="preserve">Uredbe (EU) br. 1303/2013 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i članka 56. stavka </w:t>
      </w:r>
      <w:r w:rsidR="00392891" w:rsidRPr="00441E95">
        <w:rPr>
          <w:rFonts w:ascii="Times New Roman" w:hAnsi="Times New Roman"/>
          <w:noProof w:val="0"/>
          <w:sz w:val="24"/>
          <w:lang w:eastAsia="hr-HR"/>
        </w:rPr>
        <w:t xml:space="preserve">2. </w:t>
      </w:r>
      <w:r w:rsidRPr="00441E95">
        <w:rPr>
          <w:rFonts w:ascii="Times New Roman" w:hAnsi="Times New Roman"/>
          <w:noProof w:val="0"/>
          <w:sz w:val="24"/>
          <w:lang w:eastAsia="hr-HR"/>
        </w:rPr>
        <w:t>Uredbe (EU) br. 1306/2013</w:t>
      </w:r>
      <w:r w:rsidR="00784BE2" w:rsidRPr="00441E95">
        <w:rPr>
          <w:rFonts w:ascii="Times New Roman" w:hAnsi="Times New Roman"/>
          <w:noProof w:val="0"/>
          <w:sz w:val="24"/>
          <w:lang w:eastAsia="hr-HR"/>
        </w:rPr>
        <w:t>)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, u operacijama koje obuhvaćaju </w:t>
      </w:r>
      <w:r w:rsidR="00D10E08" w:rsidRPr="00441E95">
        <w:rPr>
          <w:rFonts w:ascii="Times New Roman" w:hAnsi="Times New Roman"/>
          <w:noProof w:val="0"/>
          <w:sz w:val="24"/>
          <w:lang w:eastAsia="hr-HR"/>
        </w:rPr>
        <w:t>FI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, doprinos koji je ukinut </w:t>
      </w:r>
      <w:r w:rsidR="00392891" w:rsidRPr="00441E95">
        <w:rPr>
          <w:rFonts w:ascii="Times New Roman" w:hAnsi="Times New Roman"/>
          <w:noProof w:val="0"/>
          <w:sz w:val="24"/>
          <w:lang w:eastAsia="hr-HR"/>
        </w:rPr>
        <w:t xml:space="preserve">u skladu s odredbama navedenih članaka </w:t>
      </w:r>
      <w:r w:rsidRPr="00441E95">
        <w:rPr>
          <w:rFonts w:ascii="Times New Roman" w:hAnsi="Times New Roman"/>
          <w:noProof w:val="0"/>
          <w:sz w:val="24"/>
          <w:lang w:eastAsia="hr-HR"/>
        </w:rPr>
        <w:t>kao ishod pojedinačne nepravilnosti, može se ponovno upotrijebiti u okviru iste operacije pod sljedećim uvjetima:</w:t>
      </w:r>
    </w:p>
    <w:p w14:paraId="5D2B11F8" w14:textId="707DCE7C" w:rsidR="004B25A6" w:rsidRPr="00441E95" w:rsidRDefault="004B25A6" w:rsidP="00EA6306">
      <w:pPr>
        <w:pStyle w:val="ListParagraph"/>
        <w:numPr>
          <w:ilvl w:val="0"/>
          <w:numId w:val="16"/>
        </w:numPr>
        <w:spacing w:before="0"/>
        <w:jc w:val="both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 xml:space="preserve">ako je nepravilnost koja je dovela do ukidanja doprinosa utvrđena na razini </w:t>
      </w:r>
      <w:r w:rsidR="00E174F0" w:rsidRPr="00441E95">
        <w:rPr>
          <w:rFonts w:ascii="Times New Roman" w:hAnsi="Times New Roman"/>
          <w:noProof w:val="0"/>
          <w:sz w:val="24"/>
          <w:lang w:eastAsia="hr-HR"/>
        </w:rPr>
        <w:t>KP</w:t>
      </w:r>
      <w:r w:rsidR="00C40A31" w:rsidRPr="00441E95">
        <w:rPr>
          <w:rFonts w:ascii="Times New Roman" w:hAnsi="Times New Roman"/>
          <w:noProof w:val="0"/>
          <w:sz w:val="24"/>
          <w:lang w:eastAsia="hr-HR"/>
        </w:rPr>
        <w:t>-a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, ukinuti doprinos može se ponovno upotrijebiti samo za druge </w:t>
      </w:r>
      <w:r w:rsidR="00E174F0" w:rsidRPr="00441E95">
        <w:rPr>
          <w:rFonts w:ascii="Times New Roman" w:hAnsi="Times New Roman"/>
          <w:noProof w:val="0"/>
          <w:sz w:val="24"/>
          <w:lang w:eastAsia="hr-HR"/>
        </w:rPr>
        <w:t>KP</w:t>
      </w:r>
      <w:r w:rsidR="000B696F" w:rsidRPr="00441E95">
        <w:rPr>
          <w:rFonts w:ascii="Times New Roman" w:hAnsi="Times New Roman"/>
          <w:noProof w:val="0"/>
          <w:sz w:val="24"/>
          <w:lang w:eastAsia="hr-HR"/>
        </w:rPr>
        <w:t>-ove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u okviru istog </w:t>
      </w:r>
      <w:r w:rsidR="00D10E08" w:rsidRPr="00441E95">
        <w:rPr>
          <w:rFonts w:ascii="Times New Roman" w:hAnsi="Times New Roman"/>
          <w:noProof w:val="0"/>
          <w:sz w:val="24"/>
          <w:lang w:eastAsia="hr-HR"/>
        </w:rPr>
        <w:t>FI</w:t>
      </w:r>
      <w:r w:rsidR="000B696F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Pr="00441E95">
        <w:rPr>
          <w:rFonts w:ascii="Times New Roman" w:hAnsi="Times New Roman"/>
          <w:noProof w:val="0"/>
          <w:sz w:val="24"/>
          <w:lang w:eastAsia="hr-HR"/>
        </w:rPr>
        <w:t>;</w:t>
      </w:r>
    </w:p>
    <w:p w14:paraId="585D3DAB" w14:textId="4F51C779" w:rsidR="00D10E08" w:rsidRPr="00441E95" w:rsidRDefault="00D10E08" w:rsidP="00EA6306">
      <w:pPr>
        <w:pStyle w:val="ListParagraph"/>
        <w:numPr>
          <w:ilvl w:val="0"/>
          <w:numId w:val="16"/>
        </w:numPr>
        <w:spacing w:before="0"/>
        <w:jc w:val="both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 xml:space="preserve">ako je nepravilnost koja je dovela do ukidanja doprinosa utvrđena na razini </w:t>
      </w:r>
      <w:r w:rsidR="001E6A68" w:rsidRPr="00441E95">
        <w:rPr>
          <w:rFonts w:ascii="Times New Roman" w:hAnsi="Times New Roman"/>
          <w:noProof w:val="0"/>
          <w:sz w:val="24"/>
          <w:lang w:eastAsia="hr-HR"/>
        </w:rPr>
        <w:t>FP</w:t>
      </w:r>
      <w:r w:rsidR="00AA2C49" w:rsidRPr="00441E95">
        <w:rPr>
          <w:rFonts w:ascii="Times New Roman" w:hAnsi="Times New Roman"/>
          <w:noProof w:val="0"/>
          <w:sz w:val="24"/>
          <w:lang w:eastAsia="hr-HR"/>
        </w:rPr>
        <w:t>-a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u okviru </w:t>
      </w:r>
      <w:r w:rsidR="001E6A68" w:rsidRPr="00441E95">
        <w:rPr>
          <w:rFonts w:ascii="Times New Roman" w:hAnsi="Times New Roman"/>
          <w:noProof w:val="0"/>
          <w:sz w:val="24"/>
          <w:lang w:eastAsia="hr-HR"/>
        </w:rPr>
        <w:t>FF</w:t>
      </w:r>
      <w:r w:rsidR="000B696F" w:rsidRPr="00441E95">
        <w:rPr>
          <w:rFonts w:ascii="Times New Roman" w:hAnsi="Times New Roman"/>
          <w:noProof w:val="0"/>
          <w:sz w:val="24"/>
          <w:lang w:eastAsia="hr-HR"/>
        </w:rPr>
        <w:t>-a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, ukinuti doprinos može se ponovno upotrijebiti samo za druge </w:t>
      </w:r>
      <w:r w:rsidR="001E6A68" w:rsidRPr="00441E95">
        <w:rPr>
          <w:rFonts w:ascii="Times New Roman" w:hAnsi="Times New Roman"/>
          <w:noProof w:val="0"/>
          <w:sz w:val="24"/>
          <w:lang w:eastAsia="hr-HR"/>
        </w:rPr>
        <w:t>FP</w:t>
      </w:r>
      <w:r w:rsidR="000B696F" w:rsidRPr="00441E95">
        <w:rPr>
          <w:rFonts w:ascii="Times New Roman" w:hAnsi="Times New Roman"/>
          <w:noProof w:val="0"/>
          <w:sz w:val="24"/>
          <w:lang w:eastAsia="hr-HR"/>
        </w:rPr>
        <w:t>-ove</w:t>
      </w:r>
      <w:r w:rsidRPr="00441E95">
        <w:rPr>
          <w:rFonts w:ascii="Times New Roman" w:hAnsi="Times New Roman"/>
          <w:noProof w:val="0"/>
          <w:sz w:val="24"/>
          <w:lang w:eastAsia="hr-HR"/>
        </w:rPr>
        <w:t>.</w:t>
      </w:r>
    </w:p>
    <w:p w14:paraId="0C13BC84" w14:textId="797E7F7B" w:rsidR="004B25A6" w:rsidRPr="00441E95" w:rsidRDefault="004B25A6" w:rsidP="004B25A6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 xml:space="preserve">Ako je nepravilnost koja je dovela do ukidanja doprinosa utvrđena na razini tijela koje provodi </w:t>
      </w:r>
      <w:r w:rsidR="0055736C" w:rsidRPr="00441E95">
        <w:rPr>
          <w:rFonts w:ascii="Times New Roman" w:hAnsi="Times New Roman"/>
          <w:noProof w:val="0"/>
          <w:sz w:val="24"/>
          <w:lang w:eastAsia="hr-HR"/>
        </w:rPr>
        <w:t>FF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, ili na razini </w:t>
      </w:r>
      <w:r w:rsidR="00D10E08" w:rsidRPr="00441E95">
        <w:rPr>
          <w:rFonts w:ascii="Times New Roman" w:hAnsi="Times New Roman"/>
          <w:noProof w:val="0"/>
          <w:sz w:val="24"/>
          <w:lang w:eastAsia="hr-HR"/>
        </w:rPr>
        <w:t>TPFI</w:t>
      </w:r>
      <w:r w:rsidR="000B6D78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="00C47A31">
        <w:rPr>
          <w:rFonts w:ascii="Times New Roman" w:hAnsi="Times New Roman"/>
          <w:noProof w:val="0"/>
          <w:sz w:val="24"/>
          <w:lang w:eastAsia="hr-HR"/>
        </w:rPr>
        <w:t>,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ako se </w:t>
      </w:r>
      <w:r w:rsidR="00D10E08" w:rsidRPr="00441E95">
        <w:rPr>
          <w:rFonts w:ascii="Times New Roman" w:hAnsi="Times New Roman"/>
          <w:noProof w:val="0"/>
          <w:sz w:val="24"/>
          <w:lang w:eastAsia="hr-HR"/>
        </w:rPr>
        <w:t>FI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provodi s pomoću strukture bez </w:t>
      </w:r>
      <w:r w:rsidR="001E6A68" w:rsidRPr="00441E95">
        <w:rPr>
          <w:rFonts w:ascii="Times New Roman" w:hAnsi="Times New Roman"/>
          <w:noProof w:val="0"/>
          <w:sz w:val="24"/>
          <w:lang w:eastAsia="hr-HR"/>
        </w:rPr>
        <w:t>FF</w:t>
      </w:r>
      <w:r w:rsidR="000B6D78" w:rsidRPr="00441E95">
        <w:rPr>
          <w:rFonts w:ascii="Times New Roman" w:hAnsi="Times New Roman"/>
          <w:noProof w:val="0"/>
          <w:sz w:val="24"/>
          <w:lang w:eastAsia="hr-HR"/>
        </w:rPr>
        <w:t>-a</w:t>
      </w:r>
      <w:r w:rsidRPr="00441E95">
        <w:rPr>
          <w:rFonts w:ascii="Times New Roman" w:hAnsi="Times New Roman"/>
          <w:noProof w:val="0"/>
          <w:sz w:val="24"/>
          <w:lang w:eastAsia="hr-HR"/>
        </w:rPr>
        <w:t>, ukinuti doprinos ne može se ponovno upotrijebiti u okviru iste operacije.</w:t>
      </w:r>
    </w:p>
    <w:p w14:paraId="6C33BCF0" w14:textId="77777777" w:rsidR="004B25A6" w:rsidRPr="00441E95" w:rsidRDefault="004B25A6" w:rsidP="004B25A6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>Ako se za sistemsku nepravilnost napravi financijski ispravak, ukinuti doprinos ne može se ponovno upotrijebiti za bilo koju operaciju na koju je utjecala ta sistemska nepravilnost.</w:t>
      </w:r>
    </w:p>
    <w:p w14:paraId="17E42ABE" w14:textId="77777777" w:rsidR="001A6FD8" w:rsidRPr="00441E95" w:rsidRDefault="001A6FD8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27486FB3" w14:textId="347FBAFE" w:rsidR="00464E1A" w:rsidRPr="00441E95" w:rsidRDefault="00464E1A" w:rsidP="00EF0E6D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</w:rPr>
      </w:pPr>
      <w:r w:rsidRPr="00441E95">
        <w:rPr>
          <w:rFonts w:ascii="Times New Roman" w:hAnsi="Times New Roman"/>
          <w:noProof w:val="0"/>
          <w:sz w:val="24"/>
        </w:rPr>
        <w:t>TPFI</w:t>
      </w:r>
      <w:r w:rsidR="00E21532">
        <w:rPr>
          <w:rFonts w:ascii="Times New Roman" w:hAnsi="Times New Roman"/>
          <w:noProof w:val="0"/>
          <w:sz w:val="24"/>
        </w:rPr>
        <w:t>-jevi</w:t>
      </w:r>
      <w:r w:rsidRPr="00441E95">
        <w:rPr>
          <w:rFonts w:ascii="Times New Roman" w:hAnsi="Times New Roman"/>
          <w:noProof w:val="0"/>
          <w:sz w:val="24"/>
        </w:rPr>
        <w:t xml:space="preserve"> su </w:t>
      </w:r>
      <w:r w:rsidR="000B6D78" w:rsidRPr="00441E95">
        <w:rPr>
          <w:rFonts w:ascii="Times New Roman" w:hAnsi="Times New Roman"/>
          <w:noProof w:val="0"/>
          <w:sz w:val="24"/>
        </w:rPr>
        <w:t xml:space="preserve">odgovorni </w:t>
      </w:r>
      <w:r w:rsidRPr="00441E95">
        <w:rPr>
          <w:rFonts w:ascii="Times New Roman" w:hAnsi="Times New Roman"/>
          <w:noProof w:val="0"/>
          <w:sz w:val="24"/>
        </w:rPr>
        <w:t>za povrat iznosa programskih doprinosa koji su zahvaćeni nepravilnostima, zajedno s kamatom i svim drugim dobicima nastalim uslijed tih doprinosa. TPFI</w:t>
      </w:r>
      <w:r w:rsidR="00E21532">
        <w:rPr>
          <w:rFonts w:ascii="Times New Roman" w:hAnsi="Times New Roman"/>
          <w:noProof w:val="0"/>
          <w:sz w:val="24"/>
        </w:rPr>
        <w:t>-jevi</w:t>
      </w:r>
      <w:r w:rsidRPr="00441E95">
        <w:rPr>
          <w:rFonts w:ascii="Times New Roman" w:hAnsi="Times New Roman"/>
          <w:noProof w:val="0"/>
          <w:sz w:val="24"/>
        </w:rPr>
        <w:t xml:space="preserve"> nisu </w:t>
      </w:r>
      <w:r w:rsidR="000B6D78" w:rsidRPr="00441E95">
        <w:rPr>
          <w:rFonts w:ascii="Times New Roman" w:hAnsi="Times New Roman"/>
          <w:noProof w:val="0"/>
          <w:sz w:val="24"/>
        </w:rPr>
        <w:t xml:space="preserve">odgovorni </w:t>
      </w:r>
      <w:r w:rsidRPr="00441E95">
        <w:rPr>
          <w:rFonts w:ascii="Times New Roman" w:hAnsi="Times New Roman"/>
          <w:noProof w:val="0"/>
          <w:sz w:val="24"/>
        </w:rPr>
        <w:t xml:space="preserve">za povrat ako dokažu da su za dotičnu nepravilnost ispunjeni sljedeći kumulativni zahtjevi: </w:t>
      </w:r>
    </w:p>
    <w:p w14:paraId="20F1F41B" w14:textId="76761841" w:rsidR="00464E1A" w:rsidRPr="00441E95" w:rsidRDefault="00464E1A" w:rsidP="00EF0E6D">
      <w:pPr>
        <w:pStyle w:val="ListParagraph"/>
        <w:numPr>
          <w:ilvl w:val="0"/>
          <w:numId w:val="17"/>
        </w:numPr>
        <w:spacing w:before="0"/>
        <w:jc w:val="both"/>
        <w:rPr>
          <w:rFonts w:ascii="Times New Roman" w:hAnsi="Times New Roman"/>
          <w:noProof w:val="0"/>
          <w:sz w:val="24"/>
        </w:rPr>
      </w:pPr>
      <w:r w:rsidRPr="00441E95">
        <w:rPr>
          <w:rFonts w:ascii="Times New Roman" w:hAnsi="Times New Roman"/>
          <w:noProof w:val="0"/>
          <w:sz w:val="24"/>
        </w:rPr>
        <w:t xml:space="preserve">nepravilnost je nastala na razini </w:t>
      </w:r>
      <w:r w:rsidR="000B6D78" w:rsidRPr="00441E95">
        <w:rPr>
          <w:rFonts w:ascii="Times New Roman" w:hAnsi="Times New Roman"/>
          <w:noProof w:val="0"/>
          <w:sz w:val="24"/>
        </w:rPr>
        <w:t>KP-a</w:t>
      </w:r>
      <w:r w:rsidRPr="00441E95">
        <w:rPr>
          <w:rFonts w:ascii="Times New Roman" w:hAnsi="Times New Roman"/>
          <w:noProof w:val="0"/>
          <w:sz w:val="24"/>
        </w:rPr>
        <w:t xml:space="preserve"> ili, u slučaju provedbe putem </w:t>
      </w:r>
      <w:r w:rsidR="000B6D78" w:rsidRPr="00441E95">
        <w:rPr>
          <w:rFonts w:ascii="Times New Roman" w:hAnsi="Times New Roman"/>
          <w:noProof w:val="0"/>
          <w:sz w:val="24"/>
        </w:rPr>
        <w:t>FP-a</w:t>
      </w:r>
      <w:r w:rsidRPr="00441E95">
        <w:rPr>
          <w:rFonts w:ascii="Times New Roman" w:hAnsi="Times New Roman"/>
          <w:noProof w:val="0"/>
          <w:sz w:val="24"/>
        </w:rPr>
        <w:t xml:space="preserve">, na razini </w:t>
      </w:r>
      <w:r w:rsidR="000B6D78" w:rsidRPr="00441E95">
        <w:rPr>
          <w:rFonts w:ascii="Times New Roman" w:hAnsi="Times New Roman"/>
          <w:noProof w:val="0"/>
          <w:sz w:val="24"/>
        </w:rPr>
        <w:t>FP-a</w:t>
      </w:r>
      <w:r w:rsidRPr="00441E95">
        <w:rPr>
          <w:rFonts w:ascii="Times New Roman" w:hAnsi="Times New Roman"/>
          <w:noProof w:val="0"/>
          <w:sz w:val="24"/>
        </w:rPr>
        <w:t xml:space="preserve"> ili </w:t>
      </w:r>
      <w:r w:rsidR="000B6D78" w:rsidRPr="00441E95">
        <w:rPr>
          <w:rFonts w:ascii="Times New Roman" w:hAnsi="Times New Roman"/>
          <w:noProof w:val="0"/>
          <w:sz w:val="24"/>
        </w:rPr>
        <w:t>KP-a</w:t>
      </w:r>
      <w:r w:rsidRPr="00441E95">
        <w:rPr>
          <w:rFonts w:ascii="Times New Roman" w:hAnsi="Times New Roman"/>
          <w:noProof w:val="0"/>
          <w:sz w:val="24"/>
        </w:rPr>
        <w:t xml:space="preserve">; </w:t>
      </w:r>
    </w:p>
    <w:p w14:paraId="7D2E6D9F" w14:textId="6E26F680" w:rsidR="00464E1A" w:rsidRPr="00441E95" w:rsidRDefault="00464E1A" w:rsidP="00EF0E6D">
      <w:pPr>
        <w:pStyle w:val="ListParagraph"/>
        <w:numPr>
          <w:ilvl w:val="0"/>
          <w:numId w:val="17"/>
        </w:numPr>
        <w:spacing w:before="0"/>
        <w:jc w:val="both"/>
        <w:rPr>
          <w:rFonts w:ascii="Times New Roman" w:hAnsi="Times New Roman"/>
          <w:noProof w:val="0"/>
          <w:sz w:val="24"/>
        </w:rPr>
      </w:pPr>
      <w:r w:rsidRPr="00441E95">
        <w:rPr>
          <w:rFonts w:ascii="Times New Roman" w:hAnsi="Times New Roman"/>
          <w:noProof w:val="0"/>
          <w:sz w:val="24"/>
        </w:rPr>
        <w:t xml:space="preserve">TPFI </w:t>
      </w:r>
      <w:r w:rsidR="00C00E7C" w:rsidRPr="00441E95">
        <w:rPr>
          <w:rFonts w:ascii="Times New Roman" w:hAnsi="Times New Roman"/>
          <w:noProof w:val="0"/>
          <w:sz w:val="24"/>
        </w:rPr>
        <w:t xml:space="preserve">zadovoljava uvjete iz članka 6. stavka 1. 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Delegirane Uredbe Komisije (EU) br. 480/2014 </w:t>
      </w:r>
      <w:r w:rsidRPr="00441E95">
        <w:rPr>
          <w:rFonts w:ascii="Times New Roman" w:hAnsi="Times New Roman"/>
          <w:noProof w:val="0"/>
          <w:sz w:val="24"/>
        </w:rPr>
        <w:t xml:space="preserve">u odnosu na doprinose na koje je utjecala nepravilnost; </w:t>
      </w:r>
    </w:p>
    <w:p w14:paraId="79306757" w14:textId="02BCF6F0" w:rsidR="00464E1A" w:rsidRPr="00441E95" w:rsidRDefault="00464E1A" w:rsidP="00EF0E6D">
      <w:pPr>
        <w:pStyle w:val="ListParagraph"/>
        <w:numPr>
          <w:ilvl w:val="0"/>
          <w:numId w:val="17"/>
        </w:numPr>
        <w:spacing w:before="0"/>
        <w:jc w:val="both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</w:rPr>
        <w:t xml:space="preserve">nije se mogao izvršiti povrat iznosa pogođenih nepravilnošću unatoč tome što </w:t>
      </w:r>
      <w:r w:rsidR="00C172D3" w:rsidRPr="00441E95">
        <w:rPr>
          <w:rFonts w:ascii="Times New Roman" w:hAnsi="Times New Roman"/>
          <w:noProof w:val="0"/>
          <w:sz w:val="24"/>
        </w:rPr>
        <w:t xml:space="preserve">je </w:t>
      </w:r>
      <w:r w:rsidRPr="00441E95">
        <w:rPr>
          <w:rFonts w:ascii="Times New Roman" w:hAnsi="Times New Roman"/>
          <w:noProof w:val="0"/>
          <w:sz w:val="24"/>
        </w:rPr>
        <w:t xml:space="preserve">TPFI s dužnom pažnjom </w:t>
      </w:r>
      <w:r w:rsidR="000B6D78" w:rsidRPr="00441E95">
        <w:rPr>
          <w:rFonts w:ascii="Times New Roman" w:hAnsi="Times New Roman"/>
          <w:noProof w:val="0"/>
          <w:sz w:val="24"/>
        </w:rPr>
        <w:t>primijen</w:t>
      </w:r>
      <w:r w:rsidR="00C172D3" w:rsidRPr="00441E95">
        <w:rPr>
          <w:rFonts w:ascii="Times New Roman" w:hAnsi="Times New Roman"/>
          <w:noProof w:val="0"/>
          <w:sz w:val="24"/>
        </w:rPr>
        <w:t>io</w:t>
      </w:r>
      <w:r w:rsidR="000B6D78" w:rsidRPr="00441E95">
        <w:rPr>
          <w:rFonts w:ascii="Times New Roman" w:hAnsi="Times New Roman"/>
          <w:noProof w:val="0"/>
          <w:sz w:val="24"/>
        </w:rPr>
        <w:t xml:space="preserve"> </w:t>
      </w:r>
      <w:r w:rsidRPr="00441E95">
        <w:rPr>
          <w:rFonts w:ascii="Times New Roman" w:hAnsi="Times New Roman"/>
          <w:noProof w:val="0"/>
          <w:sz w:val="24"/>
        </w:rPr>
        <w:t>sve primjenjive ugovorne i zakonske mjere.</w:t>
      </w:r>
    </w:p>
    <w:p w14:paraId="2C31FF5A" w14:textId="0CC61F6D" w:rsidR="00B3027A" w:rsidRPr="00441E95" w:rsidRDefault="00B3027A">
      <w:pPr>
        <w:tabs>
          <w:tab w:val="clear" w:pos="2160"/>
        </w:tabs>
        <w:spacing w:before="0"/>
        <w:ind w:left="0" w:firstLine="0"/>
        <w:jc w:val="left"/>
        <w:rPr>
          <w:rFonts w:ascii="Times New Roman" w:hAnsi="Times New Roman"/>
          <w:b/>
          <w:noProof w:val="0"/>
          <w:sz w:val="24"/>
          <w:lang w:eastAsia="hr-HR"/>
        </w:rPr>
      </w:pPr>
    </w:p>
    <w:p w14:paraId="314E94C7" w14:textId="39CDEE0B" w:rsidR="009B3DB6" w:rsidRPr="00441E95" w:rsidRDefault="009B3DB6" w:rsidP="005B6837">
      <w:pPr>
        <w:keepNext/>
        <w:widowControl w:val="0"/>
        <w:tabs>
          <w:tab w:val="clear" w:pos="2160"/>
        </w:tabs>
        <w:spacing w:before="0"/>
        <w:ind w:left="0" w:firstLine="0"/>
        <w:rPr>
          <w:rFonts w:ascii="Times New Roman" w:hAnsi="Times New Roman"/>
          <w:b/>
          <w:noProof w:val="0"/>
          <w:sz w:val="24"/>
          <w:lang w:eastAsia="hr-HR"/>
        </w:rPr>
      </w:pPr>
      <w:r w:rsidRPr="00441E95">
        <w:rPr>
          <w:rFonts w:ascii="Times New Roman" w:hAnsi="Times New Roman"/>
          <w:b/>
          <w:noProof w:val="0"/>
          <w:sz w:val="24"/>
          <w:lang w:eastAsia="hr-HR"/>
        </w:rPr>
        <w:t>c) upravljačke provjere FI</w:t>
      </w:r>
      <w:r w:rsidR="000B6D78" w:rsidRPr="00441E95">
        <w:rPr>
          <w:rFonts w:ascii="Times New Roman" w:hAnsi="Times New Roman"/>
          <w:b/>
          <w:noProof w:val="0"/>
          <w:sz w:val="24"/>
          <w:lang w:eastAsia="hr-HR"/>
        </w:rPr>
        <w:t>-ja</w:t>
      </w:r>
      <w:r w:rsidRPr="00441E95">
        <w:rPr>
          <w:rFonts w:ascii="Times New Roman" w:hAnsi="Times New Roman"/>
          <w:b/>
          <w:noProof w:val="0"/>
          <w:sz w:val="24"/>
          <w:lang w:eastAsia="hr-HR"/>
        </w:rPr>
        <w:t xml:space="preserve"> (EIB, članica grupe EIB-a i međunarodna financijska institucija)</w:t>
      </w:r>
    </w:p>
    <w:p w14:paraId="2EAE590E" w14:textId="77777777" w:rsidR="000750F9" w:rsidRPr="00441E95" w:rsidRDefault="000750F9" w:rsidP="005B6837">
      <w:pPr>
        <w:keepNext/>
        <w:widowControl w:val="0"/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719B41DA" w14:textId="171D1C26" w:rsidR="000750F9" w:rsidRPr="00441E95" w:rsidRDefault="000750F9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 xml:space="preserve">U slučaju </w:t>
      </w:r>
      <w:r w:rsidR="00D53C0C" w:rsidRPr="00441E95">
        <w:rPr>
          <w:rFonts w:ascii="Times New Roman" w:hAnsi="Times New Roman"/>
          <w:noProof w:val="0"/>
          <w:sz w:val="24"/>
          <w:lang w:eastAsia="hr-HR"/>
        </w:rPr>
        <w:t>SoF-a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s </w:t>
      </w:r>
      <w:r w:rsidR="00787632" w:rsidRPr="00441E95">
        <w:rPr>
          <w:rFonts w:ascii="Times New Roman" w:hAnsi="Times New Roman"/>
          <w:noProof w:val="0"/>
          <w:sz w:val="24"/>
          <w:lang w:eastAsia="hr-HR"/>
        </w:rPr>
        <w:t>EIB-om</w:t>
      </w:r>
      <w:r w:rsidR="00F06A89">
        <w:rPr>
          <w:rFonts w:ascii="Times New Roman" w:hAnsi="Times New Roman"/>
          <w:noProof w:val="0"/>
          <w:sz w:val="24"/>
          <w:lang w:eastAsia="hr-HR"/>
        </w:rPr>
        <w:t>,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odnosno </w:t>
      </w:r>
      <w:bookmarkStart w:id="37" w:name="_Hlk525212201"/>
      <w:r w:rsidRPr="00441E95">
        <w:rPr>
          <w:rFonts w:ascii="Times New Roman" w:hAnsi="Times New Roman"/>
          <w:noProof w:val="0"/>
          <w:sz w:val="24"/>
          <w:lang w:eastAsia="hr-HR"/>
        </w:rPr>
        <w:t>članicom grupe EIB-a</w:t>
      </w:r>
      <w:r w:rsidR="00F06A89">
        <w:rPr>
          <w:rFonts w:ascii="Times New Roman" w:hAnsi="Times New Roman"/>
          <w:noProof w:val="0"/>
          <w:sz w:val="24"/>
          <w:lang w:eastAsia="hr-HR"/>
        </w:rPr>
        <w:t>,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te s međunarodnom financijskom institucijom</w:t>
      </w:r>
      <w:bookmarkEnd w:id="37"/>
      <w:r w:rsidR="00787632" w:rsidRPr="00441E95">
        <w:rPr>
          <w:rFonts w:ascii="Times New Roman" w:hAnsi="Times New Roman"/>
          <w:noProof w:val="0"/>
          <w:sz w:val="24"/>
          <w:lang w:eastAsia="hr-HR"/>
        </w:rPr>
        <w:t xml:space="preserve">, UT i TO ne provode provjere na licu mjesta na razini EIB-a ili drugih međunarodnih financijskih institucija u kojima je </w:t>
      </w:r>
      <w:r w:rsidR="00C172D3" w:rsidRPr="00441E95">
        <w:rPr>
          <w:rFonts w:ascii="Times New Roman" w:hAnsi="Times New Roman"/>
          <w:noProof w:val="0"/>
          <w:sz w:val="24"/>
          <w:lang w:eastAsia="hr-HR"/>
        </w:rPr>
        <w:t>RH</w:t>
      </w:r>
      <w:r w:rsidR="00787632" w:rsidRPr="00441E95">
        <w:rPr>
          <w:rFonts w:ascii="Times New Roman" w:hAnsi="Times New Roman"/>
          <w:noProof w:val="0"/>
          <w:sz w:val="24"/>
          <w:lang w:eastAsia="hr-HR"/>
        </w:rPr>
        <w:t xml:space="preserve"> dioničar za </w:t>
      </w:r>
      <w:r w:rsidR="005A35ED" w:rsidRPr="00441E95">
        <w:rPr>
          <w:rFonts w:ascii="Times New Roman" w:hAnsi="Times New Roman"/>
          <w:noProof w:val="0"/>
          <w:sz w:val="24"/>
          <w:lang w:eastAsia="hr-HR"/>
        </w:rPr>
        <w:t>FI-jeve</w:t>
      </w:r>
      <w:r w:rsidR="00787632" w:rsidRPr="00441E95">
        <w:rPr>
          <w:rFonts w:ascii="Times New Roman" w:hAnsi="Times New Roman"/>
          <w:noProof w:val="0"/>
          <w:sz w:val="24"/>
          <w:lang w:eastAsia="hr-HR"/>
        </w:rPr>
        <w:t xml:space="preserve"> koje provode</w:t>
      </w:r>
      <w:r w:rsidR="00D53C0C" w:rsidRPr="00441E95">
        <w:rPr>
          <w:rFonts w:ascii="Times New Roman" w:hAnsi="Times New Roman"/>
          <w:noProof w:val="0"/>
          <w:sz w:val="24"/>
          <w:lang w:eastAsia="hr-HR"/>
        </w:rPr>
        <w:t xml:space="preserve"> ta tijela</w:t>
      </w:r>
      <w:r w:rsidR="00787632" w:rsidRPr="00441E95">
        <w:rPr>
          <w:rFonts w:ascii="Times New Roman" w:hAnsi="Times New Roman"/>
          <w:noProof w:val="0"/>
          <w:sz w:val="24"/>
          <w:lang w:eastAsia="hr-HR"/>
        </w:rPr>
        <w:t>.</w:t>
      </w:r>
      <w:r w:rsidR="007777FE" w:rsidRPr="00441E95">
        <w:rPr>
          <w:rFonts w:ascii="Times New Roman" w:hAnsi="Times New Roman"/>
          <w:noProof w:val="0"/>
          <w:sz w:val="24"/>
          <w:lang w:eastAsia="hr-HR"/>
        </w:rPr>
        <w:t xml:space="preserve"> Međutim, UT i TO provode provjere na licu mjesta na razini drugih </w:t>
      </w:r>
      <w:r w:rsidR="00960B3B" w:rsidRPr="00441E95">
        <w:rPr>
          <w:rFonts w:ascii="Times New Roman" w:hAnsi="Times New Roman"/>
          <w:noProof w:val="0"/>
          <w:sz w:val="24"/>
          <w:lang w:eastAsia="hr-HR"/>
        </w:rPr>
        <w:t>TPFI</w:t>
      </w:r>
      <w:r w:rsidR="00663E4B" w:rsidRPr="00441E95">
        <w:rPr>
          <w:rFonts w:ascii="Times New Roman" w:hAnsi="Times New Roman"/>
          <w:noProof w:val="0"/>
          <w:sz w:val="24"/>
          <w:lang w:eastAsia="hr-HR"/>
        </w:rPr>
        <w:t>-jev</w:t>
      </w:r>
      <w:r w:rsidR="00960B3B" w:rsidRPr="00441E95">
        <w:rPr>
          <w:rFonts w:ascii="Times New Roman" w:hAnsi="Times New Roman"/>
          <w:noProof w:val="0"/>
          <w:sz w:val="24"/>
          <w:lang w:eastAsia="hr-HR"/>
        </w:rPr>
        <w:t>a</w:t>
      </w:r>
      <w:r w:rsidR="007777FE" w:rsidRPr="00441E95">
        <w:rPr>
          <w:rFonts w:ascii="Times New Roman" w:hAnsi="Times New Roman"/>
          <w:noProof w:val="0"/>
          <w:sz w:val="24"/>
          <w:lang w:eastAsia="hr-HR"/>
        </w:rPr>
        <w:t xml:space="preserve"> u jurisdikciji </w:t>
      </w:r>
      <w:r w:rsidR="00C172D3" w:rsidRPr="00441E95">
        <w:rPr>
          <w:rFonts w:ascii="Times New Roman" w:hAnsi="Times New Roman"/>
          <w:noProof w:val="0"/>
          <w:sz w:val="24"/>
          <w:lang w:eastAsia="hr-HR"/>
        </w:rPr>
        <w:t>RH</w:t>
      </w:r>
      <w:r w:rsidR="007777FE" w:rsidRPr="00441E95">
        <w:rPr>
          <w:rFonts w:ascii="Times New Roman" w:hAnsi="Times New Roman"/>
          <w:noProof w:val="0"/>
          <w:sz w:val="24"/>
          <w:lang w:eastAsia="hr-HR"/>
        </w:rPr>
        <w:t>.</w:t>
      </w:r>
    </w:p>
    <w:p w14:paraId="6C3A4B3E" w14:textId="77777777" w:rsidR="00787632" w:rsidRPr="00441E95" w:rsidRDefault="00787632" w:rsidP="00787632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13657DE4" w14:textId="357EAF7B" w:rsidR="00787632" w:rsidRPr="00441E95" w:rsidRDefault="00787632" w:rsidP="00787632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lastRenderedPageBreak/>
        <w:t xml:space="preserve">EIB i druge međunarodne financijske institucije u kojima je </w:t>
      </w:r>
      <w:r w:rsidR="00926726" w:rsidRPr="00441E95">
        <w:rPr>
          <w:rFonts w:ascii="Times New Roman" w:hAnsi="Times New Roman"/>
          <w:noProof w:val="0"/>
          <w:sz w:val="24"/>
          <w:lang w:eastAsia="hr-HR"/>
        </w:rPr>
        <w:t>RH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dioničar dostavljaju </w:t>
      </w:r>
      <w:r w:rsidR="007777FE" w:rsidRPr="00441E95">
        <w:rPr>
          <w:rFonts w:ascii="Times New Roman" w:hAnsi="Times New Roman"/>
          <w:noProof w:val="0"/>
          <w:sz w:val="24"/>
          <w:lang w:eastAsia="hr-HR"/>
        </w:rPr>
        <w:t>UT</w:t>
      </w:r>
      <w:r w:rsidR="00FC4021" w:rsidRPr="00441E95">
        <w:rPr>
          <w:rFonts w:ascii="Times New Roman" w:hAnsi="Times New Roman"/>
          <w:noProof w:val="0"/>
          <w:sz w:val="24"/>
          <w:lang w:eastAsia="hr-HR"/>
        </w:rPr>
        <w:t>-u</w:t>
      </w:r>
      <w:r w:rsidR="007777FE" w:rsidRPr="00441E95">
        <w:rPr>
          <w:rFonts w:ascii="Times New Roman" w:hAnsi="Times New Roman"/>
          <w:noProof w:val="0"/>
          <w:sz w:val="24"/>
          <w:lang w:eastAsia="hr-HR"/>
        </w:rPr>
        <w:t xml:space="preserve"> i TO</w:t>
      </w:r>
      <w:r w:rsidR="00FC4021" w:rsidRPr="00441E95">
        <w:rPr>
          <w:rFonts w:ascii="Times New Roman" w:hAnsi="Times New Roman"/>
          <w:noProof w:val="0"/>
          <w:sz w:val="24"/>
          <w:lang w:eastAsia="hr-HR"/>
        </w:rPr>
        <w:t>-u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izvješće o kontroli sa svakim zahtjevom za plaćanje. </w:t>
      </w:r>
      <w:r w:rsidR="00FC4021" w:rsidRPr="00441E95">
        <w:rPr>
          <w:rFonts w:ascii="Times New Roman" w:hAnsi="Times New Roman"/>
          <w:noProof w:val="0"/>
          <w:sz w:val="24"/>
          <w:lang w:eastAsia="hr-HR"/>
        </w:rPr>
        <w:t>EK</w:t>
      </w:r>
      <w:r w:rsidR="009D2324" w:rsidRPr="00441E95">
        <w:rPr>
          <w:rFonts w:ascii="Times New Roman" w:hAnsi="Times New Roman"/>
          <w:noProof w:val="0"/>
          <w:sz w:val="24"/>
          <w:lang w:eastAsia="hr-HR"/>
        </w:rPr>
        <w:t>-</w:t>
      </w:r>
      <w:r w:rsidR="00686A5C" w:rsidRPr="00441E95">
        <w:rPr>
          <w:rFonts w:ascii="Times New Roman" w:hAnsi="Times New Roman"/>
          <w:noProof w:val="0"/>
          <w:sz w:val="24"/>
          <w:lang w:eastAsia="hr-HR"/>
        </w:rPr>
        <w:t>u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i utvrđenim tijelima dostavljaju i godišnje izvješće o reviziji koje sastavljaju njihovi vanjski revizori. Tim se obvezama izvješćivanja ne dovode u pitanje obveze izvješćivanja, među ostalim</w:t>
      </w:r>
      <w:r w:rsidR="00F216F5" w:rsidRPr="00441E95">
        <w:rPr>
          <w:rFonts w:ascii="Times New Roman" w:hAnsi="Times New Roman"/>
          <w:noProof w:val="0"/>
          <w:sz w:val="24"/>
          <w:lang w:eastAsia="hr-HR"/>
        </w:rPr>
        <w:t>,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u pogledu uspješnosti </w:t>
      </w:r>
      <w:r w:rsidR="00CF6806" w:rsidRPr="00441E95">
        <w:rPr>
          <w:rFonts w:ascii="Times New Roman" w:hAnsi="Times New Roman"/>
          <w:noProof w:val="0"/>
          <w:sz w:val="24"/>
          <w:lang w:eastAsia="hr-HR"/>
        </w:rPr>
        <w:t>FI</w:t>
      </w:r>
      <w:r w:rsidR="00E623F5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</w:t>
      </w:r>
      <w:r w:rsidR="007777FE" w:rsidRPr="00441E95">
        <w:rPr>
          <w:rFonts w:ascii="Times New Roman" w:hAnsi="Times New Roman"/>
          <w:noProof w:val="0"/>
          <w:sz w:val="24"/>
          <w:lang w:eastAsia="hr-HR"/>
        </w:rPr>
        <w:t>koje UT dostavlja EK</w:t>
      </w:r>
      <w:r w:rsidR="00E623F5" w:rsidRPr="00441E95">
        <w:rPr>
          <w:rFonts w:ascii="Times New Roman" w:hAnsi="Times New Roman"/>
          <w:noProof w:val="0"/>
          <w:sz w:val="24"/>
          <w:lang w:eastAsia="hr-HR"/>
        </w:rPr>
        <w:t>-u</w:t>
      </w:r>
      <w:r w:rsidRPr="00441E95">
        <w:rPr>
          <w:rFonts w:ascii="Times New Roman" w:hAnsi="Times New Roman"/>
          <w:noProof w:val="0"/>
          <w:sz w:val="24"/>
          <w:lang w:eastAsia="hr-HR"/>
        </w:rPr>
        <w:t>.</w:t>
      </w:r>
      <w:r w:rsidR="009D2324" w:rsidRPr="00441E95">
        <w:rPr>
          <w:rFonts w:ascii="Times New Roman" w:hAnsi="Times New Roman"/>
          <w:noProof w:val="0"/>
          <w:sz w:val="24"/>
          <w:lang w:eastAsia="hr-HR"/>
        </w:rPr>
        <w:t xml:space="preserve"> </w:t>
      </w:r>
    </w:p>
    <w:p w14:paraId="379B4AC0" w14:textId="77777777" w:rsidR="009B3DB6" w:rsidRPr="00441E95" w:rsidRDefault="009B3DB6" w:rsidP="00787632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5B8F870F" w14:textId="77777777" w:rsidR="009B3DB6" w:rsidRPr="00441E95" w:rsidRDefault="009B3DB6" w:rsidP="00787632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>EK može provoditi revizije na razini svih ranije navedenih tijela ako zaključi da je to potrebno kako bi se dobilo razumno jamstvo s obzirom na utvrđene rizike.</w:t>
      </w:r>
    </w:p>
    <w:p w14:paraId="2C3D2617" w14:textId="77777777" w:rsidR="00787632" w:rsidRPr="00441E95" w:rsidRDefault="00787632" w:rsidP="00787632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40EAF973" w14:textId="71978E52" w:rsidR="009D2324" w:rsidRPr="00441E95" w:rsidRDefault="00787632" w:rsidP="009D2324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 xml:space="preserve">Ne dovodeći u pitanje </w:t>
      </w:r>
      <w:r w:rsidR="009D2324" w:rsidRPr="00441E95">
        <w:rPr>
          <w:rFonts w:ascii="Times New Roman" w:hAnsi="Times New Roman"/>
          <w:noProof w:val="0"/>
          <w:sz w:val="24"/>
          <w:lang w:eastAsia="hr-HR"/>
        </w:rPr>
        <w:t>funkcije tijela za reviziju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, tijela odgovorna za reviziju programâ ne provode revizije na razini EIB-a ili drugih međunarodnih financijskih institucija u kojima je </w:t>
      </w:r>
      <w:r w:rsidR="00926726" w:rsidRPr="00441E95">
        <w:rPr>
          <w:rFonts w:ascii="Times New Roman" w:hAnsi="Times New Roman"/>
          <w:noProof w:val="0"/>
          <w:sz w:val="24"/>
          <w:lang w:eastAsia="hr-HR"/>
        </w:rPr>
        <w:t>RH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dioničar za </w:t>
      </w:r>
      <w:r w:rsidR="00CF6806" w:rsidRPr="00441E95">
        <w:rPr>
          <w:rFonts w:ascii="Times New Roman" w:hAnsi="Times New Roman"/>
          <w:noProof w:val="0"/>
          <w:sz w:val="24"/>
          <w:lang w:eastAsia="hr-HR"/>
        </w:rPr>
        <w:t>FI</w:t>
      </w:r>
      <w:r w:rsidR="007A2DD2" w:rsidRPr="00441E95">
        <w:rPr>
          <w:rFonts w:ascii="Times New Roman" w:hAnsi="Times New Roman"/>
          <w:noProof w:val="0"/>
          <w:sz w:val="24"/>
          <w:lang w:eastAsia="hr-HR"/>
        </w:rPr>
        <w:t>-je</w:t>
      </w:r>
      <w:r w:rsidR="00663E4B" w:rsidRPr="00441E95">
        <w:rPr>
          <w:rFonts w:ascii="Times New Roman" w:hAnsi="Times New Roman"/>
          <w:noProof w:val="0"/>
          <w:sz w:val="24"/>
          <w:lang w:eastAsia="hr-HR"/>
        </w:rPr>
        <w:t>ve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koje oni provode.</w:t>
      </w:r>
      <w:r w:rsidR="009D2324" w:rsidRPr="00441E95">
        <w:rPr>
          <w:rFonts w:ascii="Times New Roman" w:hAnsi="Times New Roman"/>
          <w:noProof w:val="0"/>
          <w:sz w:val="24"/>
          <w:lang w:eastAsia="hr-HR"/>
        </w:rPr>
        <w:t xml:space="preserve"> 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Tijela odgovorna za reviziju programâ provode revizije operacija i sustavâ upravljanja i kontrole na razini drugih </w:t>
      </w:r>
      <w:r w:rsidR="00A01EC0" w:rsidRPr="00441E95">
        <w:rPr>
          <w:rFonts w:ascii="Times New Roman" w:hAnsi="Times New Roman"/>
          <w:noProof w:val="0"/>
          <w:sz w:val="24"/>
          <w:lang w:eastAsia="hr-HR"/>
        </w:rPr>
        <w:t>TPFI</w:t>
      </w:r>
      <w:r w:rsidR="00D05567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u </w:t>
      </w:r>
      <w:r w:rsidR="00926726" w:rsidRPr="00441E95">
        <w:rPr>
          <w:rFonts w:ascii="Times New Roman" w:hAnsi="Times New Roman"/>
          <w:noProof w:val="0"/>
          <w:sz w:val="24"/>
          <w:lang w:eastAsia="hr-HR"/>
        </w:rPr>
        <w:t>RH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i na razini </w:t>
      </w:r>
      <w:r w:rsidR="00CF6806" w:rsidRPr="00441E95">
        <w:rPr>
          <w:rFonts w:ascii="Times New Roman" w:hAnsi="Times New Roman"/>
          <w:noProof w:val="0"/>
          <w:sz w:val="24"/>
          <w:lang w:eastAsia="hr-HR"/>
        </w:rPr>
        <w:t>KP</w:t>
      </w:r>
      <w:r w:rsidR="00D05567" w:rsidRPr="00441E95">
        <w:rPr>
          <w:rFonts w:ascii="Times New Roman" w:hAnsi="Times New Roman"/>
          <w:noProof w:val="0"/>
          <w:sz w:val="24"/>
          <w:lang w:eastAsia="hr-HR"/>
        </w:rPr>
        <w:t>-a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pod uvjetom da </w:t>
      </w:r>
      <w:r w:rsidR="009D2324" w:rsidRPr="00441E95">
        <w:rPr>
          <w:rFonts w:ascii="Times New Roman" w:hAnsi="Times New Roman"/>
          <w:noProof w:val="0"/>
          <w:sz w:val="24"/>
          <w:lang w:eastAsia="hr-HR"/>
        </w:rPr>
        <w:t xml:space="preserve">popratni dokumenti kojima se dokazuje potpora </w:t>
      </w:r>
      <w:r w:rsidR="00CF6806" w:rsidRPr="00441E95">
        <w:rPr>
          <w:rFonts w:ascii="Times New Roman" w:hAnsi="Times New Roman"/>
          <w:noProof w:val="0"/>
          <w:sz w:val="24"/>
          <w:lang w:eastAsia="hr-HR"/>
        </w:rPr>
        <w:t>FI</w:t>
      </w:r>
      <w:r w:rsidR="00E623F5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="009D2324" w:rsidRPr="00441E95">
        <w:rPr>
          <w:rFonts w:ascii="Times New Roman" w:hAnsi="Times New Roman"/>
          <w:noProof w:val="0"/>
          <w:sz w:val="24"/>
          <w:lang w:eastAsia="hr-HR"/>
        </w:rPr>
        <w:t xml:space="preserve"> </w:t>
      </w:r>
      <w:r w:rsidR="00CF6806" w:rsidRPr="00441E95">
        <w:rPr>
          <w:rFonts w:ascii="Times New Roman" w:hAnsi="Times New Roman"/>
          <w:noProof w:val="0"/>
          <w:sz w:val="24"/>
          <w:lang w:eastAsia="hr-HR"/>
        </w:rPr>
        <w:t>KP-</w:t>
      </w:r>
      <w:r w:rsidR="002A2970" w:rsidRPr="00441E95">
        <w:rPr>
          <w:rFonts w:ascii="Times New Roman" w:hAnsi="Times New Roman"/>
          <w:noProof w:val="0"/>
          <w:sz w:val="24"/>
          <w:lang w:eastAsia="hr-HR"/>
        </w:rPr>
        <w:t>ima</w:t>
      </w:r>
      <w:r w:rsidR="00E623F5" w:rsidRPr="00441E95">
        <w:rPr>
          <w:rFonts w:ascii="Times New Roman" w:hAnsi="Times New Roman"/>
          <w:noProof w:val="0"/>
          <w:sz w:val="24"/>
          <w:lang w:eastAsia="hr-HR"/>
        </w:rPr>
        <w:t xml:space="preserve"> </w:t>
      </w:r>
      <w:r w:rsidR="009D2324" w:rsidRPr="00441E95">
        <w:rPr>
          <w:rFonts w:ascii="Times New Roman" w:hAnsi="Times New Roman"/>
          <w:noProof w:val="0"/>
          <w:sz w:val="24"/>
          <w:lang w:eastAsia="hr-HR"/>
        </w:rPr>
        <w:t xml:space="preserve">te njezino korištenje u predviđene svrhe u skladu s primjenjivim pravom nisu dostupni na razini </w:t>
      </w:r>
      <w:r w:rsidR="00A01EC0" w:rsidRPr="00441E95">
        <w:rPr>
          <w:rFonts w:ascii="Times New Roman" w:hAnsi="Times New Roman"/>
          <w:noProof w:val="0"/>
          <w:sz w:val="24"/>
          <w:lang w:eastAsia="hr-HR"/>
        </w:rPr>
        <w:t>UT</w:t>
      </w:r>
      <w:r w:rsidR="00D05567" w:rsidRPr="00441E95">
        <w:rPr>
          <w:rFonts w:ascii="Times New Roman" w:hAnsi="Times New Roman"/>
          <w:noProof w:val="0"/>
          <w:sz w:val="24"/>
          <w:lang w:eastAsia="hr-HR"/>
        </w:rPr>
        <w:t>-a</w:t>
      </w:r>
      <w:r w:rsidR="009D2324" w:rsidRPr="00441E95">
        <w:rPr>
          <w:rFonts w:ascii="Times New Roman" w:hAnsi="Times New Roman"/>
          <w:noProof w:val="0"/>
          <w:sz w:val="24"/>
          <w:lang w:eastAsia="hr-HR"/>
        </w:rPr>
        <w:t xml:space="preserve"> ili na razini </w:t>
      </w:r>
      <w:r w:rsidR="00A01EC0" w:rsidRPr="00441E95">
        <w:rPr>
          <w:rFonts w:ascii="Times New Roman" w:hAnsi="Times New Roman"/>
          <w:noProof w:val="0"/>
          <w:sz w:val="24"/>
          <w:lang w:eastAsia="hr-HR"/>
        </w:rPr>
        <w:t>TPFI</w:t>
      </w:r>
      <w:r w:rsidR="00D05567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="009D2324" w:rsidRPr="00441E95">
        <w:rPr>
          <w:rFonts w:ascii="Times New Roman" w:hAnsi="Times New Roman"/>
          <w:noProof w:val="0"/>
          <w:sz w:val="24"/>
          <w:lang w:eastAsia="hr-HR"/>
        </w:rPr>
        <w:t xml:space="preserve"> i/ili da postoje dokazi da dokumenti dostupni na razini </w:t>
      </w:r>
      <w:r w:rsidR="00A01EC0" w:rsidRPr="00441E95">
        <w:rPr>
          <w:rFonts w:ascii="Times New Roman" w:hAnsi="Times New Roman"/>
          <w:noProof w:val="0"/>
          <w:sz w:val="24"/>
          <w:lang w:eastAsia="hr-HR"/>
        </w:rPr>
        <w:t>UT</w:t>
      </w:r>
      <w:r w:rsidR="00E623F5" w:rsidRPr="00441E95">
        <w:rPr>
          <w:rFonts w:ascii="Times New Roman" w:hAnsi="Times New Roman"/>
          <w:noProof w:val="0"/>
          <w:sz w:val="24"/>
          <w:lang w:eastAsia="hr-HR"/>
        </w:rPr>
        <w:t>-a</w:t>
      </w:r>
      <w:r w:rsidR="009D2324" w:rsidRPr="00441E95">
        <w:rPr>
          <w:rFonts w:ascii="Times New Roman" w:hAnsi="Times New Roman"/>
          <w:noProof w:val="0"/>
          <w:sz w:val="24"/>
          <w:lang w:eastAsia="hr-HR"/>
        </w:rPr>
        <w:t xml:space="preserve"> ili na razini </w:t>
      </w:r>
      <w:r w:rsidR="00A01EC0" w:rsidRPr="00441E95">
        <w:rPr>
          <w:rFonts w:ascii="Times New Roman" w:hAnsi="Times New Roman"/>
          <w:noProof w:val="0"/>
          <w:sz w:val="24"/>
          <w:lang w:eastAsia="hr-HR"/>
        </w:rPr>
        <w:t>TPFI</w:t>
      </w:r>
      <w:r w:rsidR="00E623F5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="009D2324" w:rsidRPr="00441E95">
        <w:rPr>
          <w:rFonts w:ascii="Times New Roman" w:hAnsi="Times New Roman"/>
          <w:noProof w:val="0"/>
          <w:sz w:val="24"/>
          <w:lang w:eastAsia="hr-HR"/>
        </w:rPr>
        <w:t xml:space="preserve"> ne pokazuju stvarnu i točnu situaciju pružene potpore.</w:t>
      </w:r>
      <w:r w:rsidR="00837B50" w:rsidRPr="00441E95">
        <w:rPr>
          <w:rFonts w:ascii="Times New Roman" w:hAnsi="Times New Roman"/>
          <w:noProof w:val="0"/>
          <w:sz w:val="24"/>
          <w:lang w:eastAsia="hr-HR"/>
        </w:rPr>
        <w:t xml:space="preserve"> </w:t>
      </w:r>
    </w:p>
    <w:p w14:paraId="11709A5B" w14:textId="77777777" w:rsidR="00787632" w:rsidRPr="00441E95" w:rsidRDefault="00787632" w:rsidP="00787632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767F2B44" w14:textId="38A2B551" w:rsidR="00787632" w:rsidRPr="00441E95" w:rsidRDefault="0093350F" w:rsidP="0093350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>EK</w:t>
      </w:r>
      <w:r w:rsidR="00787632" w:rsidRPr="00441E95">
        <w:rPr>
          <w:rFonts w:ascii="Times New Roman" w:hAnsi="Times New Roman"/>
          <w:noProof w:val="0"/>
          <w:sz w:val="24"/>
          <w:lang w:eastAsia="hr-HR"/>
        </w:rPr>
        <w:t xml:space="preserve"> donosi delegirane akte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</w:t>
      </w:r>
      <w:r w:rsidR="00787632" w:rsidRPr="00441E95">
        <w:rPr>
          <w:rFonts w:ascii="Times New Roman" w:hAnsi="Times New Roman"/>
          <w:noProof w:val="0"/>
          <w:sz w:val="24"/>
          <w:lang w:eastAsia="hr-HR"/>
        </w:rPr>
        <w:t>kojima se utvrđ</w:t>
      </w:r>
      <w:r w:rsidRPr="00441E95">
        <w:rPr>
          <w:rFonts w:ascii="Times New Roman" w:hAnsi="Times New Roman"/>
          <w:noProof w:val="0"/>
          <w:sz w:val="24"/>
          <w:lang w:eastAsia="hr-HR"/>
        </w:rPr>
        <w:t>uju</w:t>
      </w:r>
      <w:r w:rsidR="00787632" w:rsidRPr="00441E95">
        <w:rPr>
          <w:rFonts w:ascii="Times New Roman" w:hAnsi="Times New Roman"/>
          <w:noProof w:val="0"/>
          <w:sz w:val="24"/>
          <w:lang w:eastAsia="hr-HR"/>
        </w:rPr>
        <w:t xml:space="preserve"> dodatn</w:t>
      </w:r>
      <w:r w:rsidRPr="00441E95">
        <w:rPr>
          <w:rFonts w:ascii="Times New Roman" w:hAnsi="Times New Roman"/>
          <w:noProof w:val="0"/>
          <w:sz w:val="24"/>
          <w:lang w:eastAsia="hr-HR"/>
        </w:rPr>
        <w:t>a</w:t>
      </w:r>
      <w:r w:rsidR="00787632" w:rsidRPr="00441E95">
        <w:rPr>
          <w:rFonts w:ascii="Times New Roman" w:hAnsi="Times New Roman"/>
          <w:noProof w:val="0"/>
          <w:sz w:val="24"/>
          <w:lang w:eastAsia="hr-HR"/>
        </w:rPr>
        <w:t xml:space="preserve"> posebn</w:t>
      </w:r>
      <w:r w:rsidRPr="00441E95">
        <w:rPr>
          <w:rFonts w:ascii="Times New Roman" w:hAnsi="Times New Roman"/>
          <w:noProof w:val="0"/>
          <w:sz w:val="24"/>
          <w:lang w:eastAsia="hr-HR"/>
        </w:rPr>
        <w:t>a</w:t>
      </w:r>
      <w:r w:rsidR="00787632" w:rsidRPr="00441E95">
        <w:rPr>
          <w:rFonts w:ascii="Times New Roman" w:hAnsi="Times New Roman"/>
          <w:noProof w:val="0"/>
          <w:sz w:val="24"/>
          <w:lang w:eastAsia="hr-HR"/>
        </w:rPr>
        <w:t xml:space="preserve"> pravila o upravljanju i kontroli </w:t>
      </w:r>
      <w:r w:rsidR="00CF6806" w:rsidRPr="00441E95">
        <w:rPr>
          <w:rFonts w:ascii="Times New Roman" w:hAnsi="Times New Roman"/>
          <w:noProof w:val="0"/>
          <w:sz w:val="24"/>
          <w:lang w:eastAsia="hr-HR"/>
        </w:rPr>
        <w:t>FI</w:t>
      </w:r>
      <w:r w:rsidR="00C64242" w:rsidRPr="00441E95">
        <w:rPr>
          <w:rFonts w:ascii="Times New Roman" w:hAnsi="Times New Roman"/>
          <w:noProof w:val="0"/>
          <w:sz w:val="24"/>
          <w:lang w:eastAsia="hr-HR"/>
        </w:rPr>
        <w:t>-</w:t>
      </w:r>
      <w:r w:rsidR="002A2970" w:rsidRPr="00441E95">
        <w:rPr>
          <w:rFonts w:ascii="Times New Roman" w:hAnsi="Times New Roman"/>
          <w:noProof w:val="0"/>
          <w:sz w:val="24"/>
          <w:lang w:eastAsia="hr-HR"/>
        </w:rPr>
        <w:t>jeva</w:t>
      </w:r>
      <w:r w:rsidR="00787632" w:rsidRPr="00441E95">
        <w:rPr>
          <w:rFonts w:ascii="Times New Roman" w:hAnsi="Times New Roman"/>
          <w:noProof w:val="0"/>
          <w:sz w:val="24"/>
          <w:lang w:eastAsia="hr-HR"/>
        </w:rPr>
        <w:t xml:space="preserve"> 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koji su osnovani na nacionalnoj, regionalnoj, transnacionalnoj ili prekograničnoj razini te kojima upravlja </w:t>
      </w:r>
      <w:r w:rsidR="00CF6806" w:rsidRPr="00441E95">
        <w:rPr>
          <w:rFonts w:ascii="Times New Roman" w:hAnsi="Times New Roman"/>
          <w:noProof w:val="0"/>
          <w:sz w:val="24"/>
          <w:lang w:eastAsia="hr-HR"/>
        </w:rPr>
        <w:t>UT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ili je upravljanje njima u nadležnosti tog tijela i </w:t>
      </w:r>
      <w:r w:rsidR="00CF6806" w:rsidRPr="00441E95">
        <w:rPr>
          <w:rFonts w:ascii="Times New Roman" w:hAnsi="Times New Roman"/>
          <w:noProof w:val="0"/>
          <w:sz w:val="24"/>
          <w:lang w:eastAsia="hr-HR"/>
        </w:rPr>
        <w:t>FI</w:t>
      </w:r>
      <w:r w:rsidR="00C64242" w:rsidRPr="00441E95">
        <w:rPr>
          <w:rFonts w:ascii="Times New Roman" w:hAnsi="Times New Roman"/>
          <w:noProof w:val="0"/>
          <w:sz w:val="24"/>
          <w:lang w:eastAsia="hr-HR"/>
        </w:rPr>
        <w:t>-j</w:t>
      </w:r>
      <w:r w:rsidR="00C1201C" w:rsidRPr="00441E95">
        <w:rPr>
          <w:rFonts w:ascii="Times New Roman" w:hAnsi="Times New Roman"/>
          <w:noProof w:val="0"/>
          <w:sz w:val="24"/>
          <w:lang w:eastAsia="hr-HR"/>
        </w:rPr>
        <w:t>eva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kojima se takav doprinos kombinira s financijskim proizvodima EIB-a u okviru </w:t>
      </w:r>
      <w:r w:rsidR="00C1201C" w:rsidRPr="00441E95">
        <w:rPr>
          <w:rFonts w:ascii="Times New Roman" w:hAnsi="Times New Roman"/>
          <w:noProof w:val="0"/>
          <w:sz w:val="24"/>
          <w:lang w:eastAsia="hr-HR"/>
        </w:rPr>
        <w:t>Europskog fonda za strateška ulaganja (EFSU)</w:t>
      </w:r>
      <w:r w:rsidR="00787632" w:rsidRPr="00441E95">
        <w:rPr>
          <w:rFonts w:ascii="Times New Roman" w:hAnsi="Times New Roman"/>
          <w:noProof w:val="0"/>
          <w:sz w:val="24"/>
          <w:lang w:eastAsia="hr-HR"/>
        </w:rPr>
        <w:t xml:space="preserve">, o vrstama kontrola koja treba provoditi </w:t>
      </w:r>
      <w:r w:rsidR="00CF6806" w:rsidRPr="00441E95">
        <w:rPr>
          <w:rFonts w:ascii="Times New Roman" w:hAnsi="Times New Roman"/>
          <w:noProof w:val="0"/>
          <w:sz w:val="24"/>
          <w:lang w:eastAsia="hr-HR"/>
        </w:rPr>
        <w:t>UT</w:t>
      </w:r>
      <w:r w:rsidR="00787632" w:rsidRPr="00441E95">
        <w:rPr>
          <w:rFonts w:ascii="Times New Roman" w:hAnsi="Times New Roman"/>
          <w:noProof w:val="0"/>
          <w:sz w:val="24"/>
          <w:lang w:eastAsia="hr-HR"/>
        </w:rPr>
        <w:t xml:space="preserve"> i tijelo za reviziju, o aranžmanima za čuvanje popratne dokumentacije i o elementima koje treba dok</w:t>
      </w:r>
      <w:r w:rsidRPr="00441E95">
        <w:rPr>
          <w:rFonts w:ascii="Times New Roman" w:hAnsi="Times New Roman"/>
          <w:noProof w:val="0"/>
          <w:sz w:val="24"/>
          <w:lang w:eastAsia="hr-HR"/>
        </w:rPr>
        <w:t>azati popratnom dokumentacijom.</w:t>
      </w:r>
    </w:p>
    <w:p w14:paraId="07ABB72F" w14:textId="77777777" w:rsidR="00F95014" w:rsidRPr="00441E95" w:rsidRDefault="00F95014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b/>
          <w:noProof w:val="0"/>
          <w:sz w:val="24"/>
          <w:lang w:eastAsia="hr-HR"/>
        </w:rPr>
      </w:pPr>
    </w:p>
    <w:p w14:paraId="338F71FC" w14:textId="5512B2F3" w:rsidR="00096E7A" w:rsidRPr="00441E95" w:rsidRDefault="009B3DB6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b/>
          <w:noProof w:val="0"/>
          <w:sz w:val="24"/>
          <w:lang w:eastAsia="hr-HR"/>
        </w:rPr>
      </w:pPr>
      <w:r w:rsidRPr="00441E95">
        <w:rPr>
          <w:rFonts w:ascii="Times New Roman" w:hAnsi="Times New Roman"/>
          <w:b/>
          <w:noProof w:val="0"/>
          <w:sz w:val="24"/>
          <w:lang w:eastAsia="hr-HR"/>
        </w:rPr>
        <w:t>d</w:t>
      </w:r>
      <w:r w:rsidR="00096E7A" w:rsidRPr="00441E95">
        <w:rPr>
          <w:rFonts w:ascii="Times New Roman" w:hAnsi="Times New Roman"/>
          <w:b/>
          <w:noProof w:val="0"/>
          <w:sz w:val="24"/>
          <w:lang w:eastAsia="hr-HR"/>
        </w:rPr>
        <w:t>) praćenje adekvatn</w:t>
      </w:r>
      <w:r w:rsidR="008B0116" w:rsidRPr="00441E95">
        <w:rPr>
          <w:rFonts w:ascii="Times New Roman" w:hAnsi="Times New Roman"/>
          <w:b/>
          <w:noProof w:val="0"/>
          <w:sz w:val="24"/>
          <w:lang w:eastAsia="hr-HR"/>
        </w:rPr>
        <w:t>osti</w:t>
      </w:r>
      <w:r w:rsidR="00096E7A" w:rsidRPr="00441E95">
        <w:rPr>
          <w:rFonts w:ascii="Times New Roman" w:hAnsi="Times New Roman"/>
          <w:b/>
          <w:noProof w:val="0"/>
          <w:sz w:val="24"/>
          <w:lang w:eastAsia="hr-HR"/>
        </w:rPr>
        <w:t xml:space="preserve"> ljudskih potencijala TPFI</w:t>
      </w:r>
      <w:r w:rsidR="00C64242" w:rsidRPr="00441E95">
        <w:rPr>
          <w:rFonts w:ascii="Times New Roman" w:hAnsi="Times New Roman"/>
          <w:b/>
          <w:noProof w:val="0"/>
          <w:sz w:val="24"/>
          <w:lang w:eastAsia="hr-HR"/>
        </w:rPr>
        <w:t>-ja</w:t>
      </w:r>
      <w:r w:rsidR="008B0116" w:rsidRPr="00441E95">
        <w:rPr>
          <w:rFonts w:ascii="Times New Roman" w:hAnsi="Times New Roman"/>
          <w:b/>
          <w:noProof w:val="0"/>
          <w:sz w:val="24"/>
          <w:lang w:eastAsia="hr-HR"/>
        </w:rPr>
        <w:t>/FF-a</w:t>
      </w:r>
    </w:p>
    <w:p w14:paraId="2114921D" w14:textId="77777777" w:rsidR="000725B5" w:rsidRPr="00441E95" w:rsidRDefault="000725B5" w:rsidP="000B696F">
      <w:pPr>
        <w:ind w:left="0" w:firstLine="0"/>
        <w:rPr>
          <w:rFonts w:ascii="Times New Roman" w:eastAsia="Arial,Calibri" w:hAnsi="Times New Roman"/>
          <w:b/>
          <w:bCs/>
          <w:noProof w:val="0"/>
          <w:sz w:val="24"/>
        </w:rPr>
      </w:pPr>
    </w:p>
    <w:p w14:paraId="2D36138A" w14:textId="25558591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>TPFI</w:t>
      </w:r>
      <w:r w:rsidRPr="00441E95">
        <w:rPr>
          <w:rFonts w:ascii="Times New Roman" w:hAnsi="Times New Roman"/>
          <w:noProof w:val="0"/>
          <w:vertAlign w:val="superscript"/>
          <w:lang w:eastAsia="hr-HR"/>
        </w:rPr>
        <w:footnoteReference w:id="21"/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u svrhu analize i osiguranja odgovarajućeg broja zaposlenika potrebnog za pravovremeno obavljanje zadataka provedbe FI-</w:t>
      </w:r>
      <w:r w:rsidR="003C0C59" w:rsidRPr="00441E95">
        <w:rPr>
          <w:rFonts w:ascii="Times New Roman" w:hAnsi="Times New Roman"/>
          <w:noProof w:val="0"/>
          <w:sz w:val="24"/>
          <w:lang w:eastAsia="hr-HR"/>
        </w:rPr>
        <w:t>j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a provodi ARO. Kod izrade ARO-a, u obzir se uzima </w:t>
      </w:r>
      <w:r w:rsidR="0054745A" w:rsidRPr="00441E95">
        <w:rPr>
          <w:rFonts w:ascii="Times New Roman" w:hAnsi="Times New Roman"/>
          <w:noProof w:val="0"/>
          <w:sz w:val="24"/>
          <w:lang w:eastAsia="hr-HR"/>
        </w:rPr>
        <w:t>organizacijska struktura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, </w:t>
      </w:r>
      <w:r w:rsidR="0054745A" w:rsidRPr="00441E95">
        <w:rPr>
          <w:rFonts w:ascii="Times New Roman" w:hAnsi="Times New Roman"/>
          <w:noProof w:val="0"/>
          <w:sz w:val="24"/>
          <w:lang w:eastAsia="hr-HR"/>
        </w:rPr>
        <w:t xml:space="preserve">ljudski potencijali </w:t>
      </w:r>
      <w:r w:rsidR="002A2970" w:rsidRPr="00441E95">
        <w:rPr>
          <w:rFonts w:ascii="Times New Roman" w:hAnsi="Times New Roman"/>
          <w:noProof w:val="0"/>
          <w:sz w:val="24"/>
          <w:lang w:eastAsia="hr-HR"/>
        </w:rPr>
        <w:t xml:space="preserve">uključeni </w:t>
      </w:r>
      <w:r w:rsidRPr="00441E95">
        <w:rPr>
          <w:rFonts w:ascii="Times New Roman" w:hAnsi="Times New Roman"/>
          <w:noProof w:val="0"/>
          <w:sz w:val="24"/>
          <w:lang w:eastAsia="hr-HR"/>
        </w:rPr>
        <w:t>u provedbu FI-</w:t>
      </w:r>
      <w:r w:rsidR="003C0C59" w:rsidRPr="00441E95">
        <w:rPr>
          <w:rFonts w:ascii="Times New Roman" w:hAnsi="Times New Roman"/>
          <w:noProof w:val="0"/>
          <w:sz w:val="24"/>
          <w:lang w:eastAsia="hr-HR"/>
        </w:rPr>
        <w:t>j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a, </w:t>
      </w:r>
      <w:r w:rsidR="0054745A" w:rsidRPr="00441E95">
        <w:rPr>
          <w:rFonts w:ascii="Times New Roman" w:hAnsi="Times New Roman"/>
          <w:noProof w:val="0"/>
          <w:sz w:val="24"/>
          <w:lang w:eastAsia="hr-HR"/>
        </w:rPr>
        <w:t xml:space="preserve">akti </w:t>
      </w:r>
      <w:r w:rsidRPr="00441E95">
        <w:rPr>
          <w:rFonts w:ascii="Times New Roman" w:hAnsi="Times New Roman"/>
          <w:noProof w:val="0"/>
          <w:sz w:val="24"/>
          <w:lang w:eastAsia="hr-HR"/>
        </w:rPr>
        <w:t>koji se odnose na unutarnje ustrojstvo i PoP.</w:t>
      </w:r>
    </w:p>
    <w:p w14:paraId="0E986708" w14:textId="77777777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07B565D7" w14:textId="7F046859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>ARO se prvi puta provodi po potpisivanju SoF-a, i to u pravilu u roku od 3 mjeseca nakon potpisivanja SoF-a. U narednim se kalendarskim godinama ažurira na početku godine i dostavlja UT-u najkasnije do kraja siječnja. UT potvrđuje suglasnost na dostavljeni ARO.</w:t>
      </w:r>
    </w:p>
    <w:p w14:paraId="67242D25" w14:textId="77777777" w:rsidR="00C1201C" w:rsidRPr="00441E95" w:rsidRDefault="00C1201C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5473E9DE" w14:textId="77777777" w:rsidR="00096E7A" w:rsidRPr="00441E95" w:rsidRDefault="00096E7A" w:rsidP="001A2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160"/>
        </w:tabs>
        <w:spacing w:before="0"/>
        <w:ind w:left="0" w:firstLine="0"/>
        <w:rPr>
          <w:rFonts w:ascii="Times New Roman" w:hAnsi="Times New Roman"/>
          <w:b/>
          <w:noProof w:val="0"/>
          <w:sz w:val="24"/>
          <w:lang w:eastAsia="hr-HR"/>
        </w:rPr>
      </w:pPr>
      <w:r w:rsidRPr="00441E95">
        <w:rPr>
          <w:rFonts w:ascii="Times New Roman" w:hAnsi="Times New Roman"/>
          <w:b/>
          <w:noProof w:val="0"/>
          <w:sz w:val="24"/>
          <w:lang w:eastAsia="hr-HR"/>
        </w:rPr>
        <w:t>7.8. Postup</w:t>
      </w:r>
      <w:r w:rsidR="00F53607" w:rsidRPr="00441E95">
        <w:rPr>
          <w:rFonts w:ascii="Times New Roman" w:hAnsi="Times New Roman"/>
          <w:b/>
          <w:noProof w:val="0"/>
          <w:sz w:val="24"/>
          <w:lang w:eastAsia="hr-HR"/>
        </w:rPr>
        <w:t>a</w:t>
      </w:r>
      <w:r w:rsidRPr="00441E95">
        <w:rPr>
          <w:rFonts w:ascii="Times New Roman" w:hAnsi="Times New Roman"/>
          <w:b/>
          <w:noProof w:val="0"/>
          <w:sz w:val="24"/>
          <w:lang w:eastAsia="hr-HR"/>
        </w:rPr>
        <w:t xml:space="preserve">k izvješćivanja </w:t>
      </w:r>
    </w:p>
    <w:p w14:paraId="7DDFD983" w14:textId="77777777" w:rsidR="00096E7A" w:rsidRPr="00441E95" w:rsidRDefault="00096E7A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0FA87E10" w14:textId="77777777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>Postupak izvješćivanja karakterizira tri vrste izvještaja:</w:t>
      </w:r>
    </w:p>
    <w:p w14:paraId="4DF8EEDF" w14:textId="77777777" w:rsidR="00096E7A" w:rsidRPr="00441E95" w:rsidRDefault="00096E7A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61F0D0A7" w14:textId="3342C768" w:rsidR="000725B5" w:rsidRPr="00FD3C33" w:rsidRDefault="000725B5" w:rsidP="00E87CDD">
      <w:pPr>
        <w:pStyle w:val="ListParagraph"/>
        <w:numPr>
          <w:ilvl w:val="0"/>
          <w:numId w:val="15"/>
        </w:numPr>
        <w:spacing w:before="0" w:after="0" w:line="256" w:lineRule="auto"/>
        <w:jc w:val="both"/>
        <w:rPr>
          <w:rFonts w:ascii="Times New Roman" w:hAnsi="Times New Roman"/>
          <w:noProof w:val="0"/>
          <w:sz w:val="24"/>
          <w:lang w:eastAsia="hr-HR"/>
        </w:rPr>
      </w:pPr>
      <w:r w:rsidRPr="00FD3C33">
        <w:rPr>
          <w:rFonts w:ascii="Times New Roman" w:eastAsia="Arial,Calibri" w:hAnsi="Times New Roman"/>
          <w:bCs/>
          <w:noProof w:val="0"/>
          <w:sz w:val="24"/>
          <w:u w:val="single"/>
          <w:lang w:eastAsia="hr-HR"/>
        </w:rPr>
        <w:lastRenderedPageBreak/>
        <w:t>izvješćivanje TPFI</w:t>
      </w:r>
      <w:r w:rsidR="0056286D" w:rsidRPr="00FD3C33">
        <w:rPr>
          <w:rFonts w:ascii="Times New Roman" w:eastAsia="Arial,Calibri" w:hAnsi="Times New Roman"/>
          <w:bCs/>
          <w:noProof w:val="0"/>
          <w:sz w:val="24"/>
          <w:u w:val="single"/>
          <w:lang w:eastAsia="hr-HR"/>
        </w:rPr>
        <w:t>-ja</w:t>
      </w:r>
      <w:r w:rsidR="00CB1FB4" w:rsidRPr="00FD3C33">
        <w:rPr>
          <w:rFonts w:ascii="Times New Roman" w:eastAsia="Arial,Calibri" w:hAnsi="Times New Roman"/>
          <w:bCs/>
          <w:noProof w:val="0"/>
          <w:sz w:val="24"/>
          <w:u w:val="single"/>
          <w:lang w:eastAsia="hr-HR"/>
        </w:rPr>
        <w:t>/FF-a</w:t>
      </w:r>
      <w:r w:rsidRPr="00FD3C33">
        <w:rPr>
          <w:rFonts w:ascii="Times New Roman" w:eastAsia="Arial,Calibri" w:hAnsi="Times New Roman"/>
          <w:bCs/>
          <w:noProof w:val="0"/>
          <w:sz w:val="24"/>
          <w:u w:val="single"/>
          <w:lang w:eastAsia="hr-HR"/>
        </w:rPr>
        <w:t xml:space="preserve"> prema UT</w:t>
      </w:r>
      <w:r w:rsidR="0056286D" w:rsidRPr="00FD3C33">
        <w:rPr>
          <w:rFonts w:ascii="Times New Roman" w:eastAsia="Arial,Calibri" w:hAnsi="Times New Roman"/>
          <w:bCs/>
          <w:noProof w:val="0"/>
          <w:sz w:val="24"/>
          <w:u w:val="single"/>
          <w:lang w:eastAsia="hr-HR"/>
        </w:rPr>
        <w:t xml:space="preserve">-u </w:t>
      </w:r>
      <w:r w:rsidRPr="00FD3C33">
        <w:rPr>
          <w:rFonts w:ascii="Times New Roman" w:eastAsia="Arial,Calibri" w:hAnsi="Times New Roman"/>
          <w:bCs/>
          <w:noProof w:val="0"/>
          <w:sz w:val="24"/>
          <w:lang w:eastAsia="hr-HR"/>
        </w:rPr>
        <w:t xml:space="preserve">- </w:t>
      </w:r>
      <w:r w:rsidRPr="00FD3C33">
        <w:rPr>
          <w:rFonts w:ascii="Times New Roman" w:eastAsia="Arial" w:hAnsi="Times New Roman"/>
          <w:noProof w:val="0"/>
          <w:sz w:val="24"/>
          <w:lang w:eastAsia="hr-HR"/>
        </w:rPr>
        <w:t xml:space="preserve">mjesečno prema obrascu iz Priloga 03 ZNP-a br. 14, najkasnije do </w:t>
      </w:r>
      <w:r w:rsidR="00D60E46" w:rsidRPr="00FD3C33">
        <w:rPr>
          <w:rFonts w:ascii="Times New Roman" w:eastAsia="Arial" w:hAnsi="Times New Roman"/>
          <w:noProof w:val="0"/>
          <w:sz w:val="24"/>
          <w:lang w:eastAsia="hr-HR"/>
        </w:rPr>
        <w:t>0</w:t>
      </w:r>
      <w:r w:rsidRPr="00FD3C33">
        <w:rPr>
          <w:rFonts w:ascii="Times New Roman" w:eastAsia="Arial" w:hAnsi="Times New Roman"/>
          <w:noProof w:val="0"/>
          <w:sz w:val="24"/>
          <w:lang w:eastAsia="hr-HR"/>
        </w:rPr>
        <w:t>5. u mjesecu za prethodni mjesec te</w:t>
      </w:r>
      <w:r w:rsidR="00FD3C33" w:rsidRPr="00FD3C33">
        <w:rPr>
          <w:rFonts w:ascii="Times New Roman" w:eastAsia="Arial" w:hAnsi="Times New Roman"/>
          <w:noProof w:val="0"/>
          <w:sz w:val="24"/>
          <w:lang w:eastAsia="hr-HR"/>
        </w:rPr>
        <w:t xml:space="preserve"> tromjesečno</w:t>
      </w:r>
      <w:r w:rsidRPr="00FD3C33">
        <w:rPr>
          <w:rFonts w:ascii="Times New Roman" w:eastAsia="Arial" w:hAnsi="Times New Roman"/>
          <w:noProof w:val="0"/>
          <w:sz w:val="24"/>
          <w:lang w:eastAsia="hr-HR"/>
        </w:rPr>
        <w:t xml:space="preserve"> prema obrascu iz Priloga 04 ZNP-a br. 14, najkasnije do 15. u mjesecu za prethodni kvartal</w:t>
      </w:r>
      <w:r w:rsidR="00B00979" w:rsidRPr="00FD3C33">
        <w:rPr>
          <w:rFonts w:ascii="Times New Roman" w:eastAsia="Arial" w:hAnsi="Times New Roman"/>
          <w:noProof w:val="0"/>
          <w:sz w:val="24"/>
          <w:lang w:eastAsia="hr-HR"/>
        </w:rPr>
        <w:t>;</w:t>
      </w:r>
    </w:p>
    <w:p w14:paraId="6E81893B" w14:textId="79A04FD2" w:rsidR="000725B5" w:rsidRPr="00FD3C33" w:rsidRDefault="000725B5" w:rsidP="001A2AFF">
      <w:pPr>
        <w:numPr>
          <w:ilvl w:val="0"/>
          <w:numId w:val="4"/>
        </w:numPr>
        <w:spacing w:before="0" w:after="160" w:line="256" w:lineRule="auto"/>
        <w:contextualSpacing/>
        <w:rPr>
          <w:rFonts w:ascii="Times New Roman" w:eastAsia="Arial" w:hAnsi="Times New Roman"/>
          <w:noProof w:val="0"/>
          <w:sz w:val="24"/>
          <w:szCs w:val="22"/>
          <w:lang w:eastAsia="hr-HR"/>
        </w:rPr>
      </w:pPr>
      <w:r w:rsidRPr="00FD3C33">
        <w:rPr>
          <w:rFonts w:ascii="Times New Roman" w:eastAsia="Arial,Calibri" w:hAnsi="Times New Roman"/>
          <w:bCs/>
          <w:noProof w:val="0"/>
          <w:sz w:val="24"/>
          <w:u w:val="single"/>
          <w:lang w:eastAsia="hr-HR"/>
        </w:rPr>
        <w:t>izvješćivanje FP</w:t>
      </w:r>
      <w:r w:rsidR="00B00979" w:rsidRPr="00FD3C33">
        <w:rPr>
          <w:rFonts w:ascii="Times New Roman" w:eastAsia="Arial,Calibri" w:hAnsi="Times New Roman"/>
          <w:bCs/>
          <w:noProof w:val="0"/>
          <w:sz w:val="24"/>
          <w:u w:val="single"/>
          <w:lang w:eastAsia="hr-HR"/>
        </w:rPr>
        <w:t>-a</w:t>
      </w:r>
      <w:r w:rsidRPr="00FD3C33">
        <w:rPr>
          <w:rFonts w:ascii="Times New Roman" w:eastAsia="Arial,Calibri" w:hAnsi="Times New Roman"/>
          <w:bCs/>
          <w:noProof w:val="0"/>
          <w:sz w:val="24"/>
          <w:u w:val="single"/>
          <w:lang w:eastAsia="hr-HR"/>
        </w:rPr>
        <w:t xml:space="preserve"> prema TPFI</w:t>
      </w:r>
      <w:r w:rsidR="00B00979" w:rsidRPr="00FD3C33">
        <w:rPr>
          <w:rFonts w:ascii="Times New Roman" w:eastAsia="Arial,Calibri" w:hAnsi="Times New Roman"/>
          <w:bCs/>
          <w:noProof w:val="0"/>
          <w:sz w:val="24"/>
          <w:u w:val="single"/>
          <w:lang w:eastAsia="hr-HR"/>
        </w:rPr>
        <w:t>-ju</w:t>
      </w:r>
      <w:r w:rsidRPr="00FD3C33">
        <w:rPr>
          <w:rFonts w:ascii="Times New Roman" w:eastAsia="Arial,Calibri" w:hAnsi="Times New Roman"/>
          <w:bCs/>
          <w:noProof w:val="0"/>
          <w:sz w:val="24"/>
          <w:u w:val="single"/>
          <w:lang w:eastAsia="hr-HR"/>
        </w:rPr>
        <w:t>/FF</w:t>
      </w:r>
      <w:r w:rsidR="00B00979" w:rsidRPr="00FD3C33">
        <w:rPr>
          <w:rFonts w:ascii="Times New Roman" w:eastAsia="Arial,Calibri" w:hAnsi="Times New Roman"/>
          <w:bCs/>
          <w:noProof w:val="0"/>
          <w:sz w:val="24"/>
          <w:u w:val="single"/>
          <w:lang w:eastAsia="hr-HR"/>
        </w:rPr>
        <w:t>-u</w:t>
      </w:r>
      <w:r w:rsidR="00B00979" w:rsidRPr="00FD3C33">
        <w:rPr>
          <w:rFonts w:ascii="Times New Roman" w:eastAsia="Arial,Calibri" w:hAnsi="Times New Roman"/>
          <w:bCs/>
          <w:noProof w:val="0"/>
          <w:sz w:val="24"/>
          <w:lang w:eastAsia="hr-HR"/>
        </w:rPr>
        <w:t xml:space="preserve"> </w:t>
      </w:r>
      <w:r w:rsidRPr="00FD3C33">
        <w:rPr>
          <w:rFonts w:ascii="Times New Roman" w:eastAsia="Arial,Calibri" w:hAnsi="Times New Roman"/>
          <w:bCs/>
          <w:noProof w:val="0"/>
          <w:sz w:val="24"/>
          <w:lang w:eastAsia="hr-HR"/>
        </w:rPr>
        <w:t xml:space="preserve">- </w:t>
      </w:r>
      <w:r w:rsidRPr="00FD3C33">
        <w:rPr>
          <w:rFonts w:ascii="Times New Roman" w:eastAsia="Calibri" w:hAnsi="Times New Roman"/>
          <w:noProof w:val="0"/>
          <w:sz w:val="24"/>
          <w:lang w:eastAsia="hr-HR"/>
        </w:rPr>
        <w:t>TPFI/FF</w:t>
      </w:r>
      <w:r w:rsidRPr="00FD3C33">
        <w:rPr>
          <w:rStyle w:val="FootnoteReference"/>
          <w:rFonts w:ascii="Times New Roman" w:eastAsia="Calibri" w:hAnsi="Times New Roman"/>
          <w:noProof w:val="0"/>
          <w:sz w:val="24"/>
          <w:lang w:eastAsia="hr-HR"/>
        </w:rPr>
        <w:footnoteReference w:id="22"/>
      </w:r>
      <w:r w:rsidRPr="00FD3C33">
        <w:rPr>
          <w:rFonts w:ascii="Times New Roman" w:eastAsia="Calibri" w:hAnsi="Times New Roman"/>
          <w:noProof w:val="0"/>
          <w:sz w:val="24"/>
          <w:lang w:eastAsia="hr-HR"/>
        </w:rPr>
        <w:t xml:space="preserve"> u SoF-u druge razine osigurava da mu </w:t>
      </w:r>
      <w:r w:rsidRPr="00FD3C33">
        <w:rPr>
          <w:rFonts w:ascii="Times New Roman" w:eastAsia="Arial" w:hAnsi="Times New Roman"/>
          <w:noProof w:val="0"/>
          <w:sz w:val="24"/>
          <w:szCs w:val="22"/>
          <w:lang w:eastAsia="hr-HR"/>
        </w:rPr>
        <w:t>FP</w:t>
      </w:r>
      <w:r w:rsidR="00B00979" w:rsidRPr="00FD3C33">
        <w:rPr>
          <w:rFonts w:ascii="Times New Roman" w:eastAsia="Arial" w:hAnsi="Times New Roman"/>
          <w:noProof w:val="0"/>
          <w:sz w:val="24"/>
          <w:szCs w:val="22"/>
          <w:lang w:eastAsia="hr-HR"/>
        </w:rPr>
        <w:t>-i</w:t>
      </w:r>
      <w:r w:rsidRPr="00FD3C33">
        <w:rPr>
          <w:rFonts w:ascii="Times New Roman" w:eastAsia="Arial" w:hAnsi="Times New Roman"/>
          <w:noProof w:val="0"/>
          <w:sz w:val="24"/>
          <w:szCs w:val="22"/>
          <w:lang w:eastAsia="hr-HR"/>
        </w:rPr>
        <w:t xml:space="preserve"> dostavljaju podatke potrebne za izvješćivanje prema UT</w:t>
      </w:r>
      <w:r w:rsidR="00B00979" w:rsidRPr="00FD3C33">
        <w:rPr>
          <w:rFonts w:ascii="Times New Roman" w:eastAsia="Arial" w:hAnsi="Times New Roman"/>
          <w:noProof w:val="0"/>
          <w:sz w:val="24"/>
          <w:szCs w:val="22"/>
          <w:lang w:eastAsia="hr-HR"/>
        </w:rPr>
        <w:t>-u;</w:t>
      </w:r>
    </w:p>
    <w:p w14:paraId="7A7A9238" w14:textId="16231FBB" w:rsidR="000725B5" w:rsidRPr="00441E95" w:rsidRDefault="000725B5" w:rsidP="00E87CDD">
      <w:pPr>
        <w:numPr>
          <w:ilvl w:val="0"/>
          <w:numId w:val="4"/>
        </w:numPr>
        <w:spacing w:after="160" w:line="256" w:lineRule="auto"/>
        <w:contextualSpacing/>
        <w:rPr>
          <w:rFonts w:ascii="Times New Roman" w:eastAsia="Calibri" w:hAnsi="Times New Roman"/>
          <w:noProof w:val="0"/>
          <w:sz w:val="24"/>
          <w:lang w:eastAsia="hr-HR"/>
        </w:rPr>
      </w:pPr>
      <w:r w:rsidRPr="00441E95">
        <w:rPr>
          <w:rFonts w:ascii="Times New Roman" w:eastAsia="Arial,Calibri" w:hAnsi="Times New Roman"/>
          <w:bCs/>
          <w:noProof w:val="0"/>
          <w:sz w:val="24"/>
          <w:u w:val="single"/>
          <w:lang w:eastAsia="hr-HR"/>
        </w:rPr>
        <w:t>izvješćivanje UT</w:t>
      </w:r>
      <w:r w:rsidR="00E87CDD" w:rsidRPr="00441E95">
        <w:rPr>
          <w:rFonts w:ascii="Times New Roman" w:eastAsia="Arial,Calibri" w:hAnsi="Times New Roman"/>
          <w:bCs/>
          <w:noProof w:val="0"/>
          <w:sz w:val="24"/>
          <w:u w:val="single"/>
          <w:lang w:eastAsia="hr-HR"/>
        </w:rPr>
        <w:t>-a</w:t>
      </w:r>
      <w:r w:rsidRPr="00441E95">
        <w:rPr>
          <w:rFonts w:ascii="Times New Roman" w:eastAsia="Arial,Calibri" w:hAnsi="Times New Roman"/>
          <w:bCs/>
          <w:noProof w:val="0"/>
          <w:sz w:val="24"/>
          <w:u w:val="single"/>
          <w:lang w:eastAsia="hr-HR"/>
        </w:rPr>
        <w:t xml:space="preserve"> prema EK i OzP-</w:t>
      </w:r>
      <w:r w:rsidR="00E87CDD" w:rsidRPr="00441E95">
        <w:rPr>
          <w:rFonts w:ascii="Times New Roman" w:eastAsia="Arial,Calibri" w:hAnsi="Times New Roman"/>
          <w:bCs/>
          <w:noProof w:val="0"/>
          <w:sz w:val="24"/>
          <w:u w:val="single"/>
          <w:lang w:eastAsia="hr-HR"/>
        </w:rPr>
        <w:t>u</w:t>
      </w:r>
      <w:r w:rsidR="00E87CDD" w:rsidRPr="00441E95">
        <w:rPr>
          <w:rFonts w:ascii="Times New Roman" w:eastAsia="Arial,Calibri" w:hAnsi="Times New Roman"/>
          <w:bCs/>
          <w:noProof w:val="0"/>
          <w:sz w:val="24"/>
          <w:lang w:eastAsia="hr-HR"/>
        </w:rPr>
        <w:t xml:space="preserve"> - 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UT analizira i objedinjuje podatke te ih dostavlja EK i OzP-u u skladu s postupanjem i obrascima ZNP-a br. </w:t>
      </w:r>
      <w:r w:rsidR="00244843" w:rsidRPr="00441E95">
        <w:rPr>
          <w:rFonts w:ascii="Times New Roman" w:hAnsi="Times New Roman"/>
          <w:noProof w:val="0"/>
          <w:sz w:val="24"/>
          <w:lang w:eastAsia="hr-HR"/>
        </w:rPr>
        <w:t>0</w:t>
      </w:r>
      <w:r w:rsidRPr="00441E95">
        <w:rPr>
          <w:rFonts w:ascii="Times New Roman" w:hAnsi="Times New Roman"/>
          <w:noProof w:val="0"/>
          <w:sz w:val="24"/>
          <w:lang w:eastAsia="hr-HR"/>
        </w:rPr>
        <w:t>4 o prognoziranju i praćenju. UT godišnje izvješćuje OzP o upravljačkim troškovima i naknadama isplaćenima iz FI-</w:t>
      </w:r>
      <w:r w:rsidR="003C0C59" w:rsidRPr="00441E95">
        <w:rPr>
          <w:rFonts w:ascii="Times New Roman" w:hAnsi="Times New Roman"/>
          <w:noProof w:val="0"/>
          <w:sz w:val="24"/>
          <w:lang w:eastAsia="hr-HR"/>
        </w:rPr>
        <w:t>j</w:t>
      </w:r>
      <w:r w:rsidRPr="00441E95">
        <w:rPr>
          <w:rFonts w:ascii="Times New Roman" w:hAnsi="Times New Roman"/>
          <w:noProof w:val="0"/>
          <w:sz w:val="24"/>
          <w:lang w:eastAsia="hr-HR"/>
        </w:rPr>
        <w:t>a TPFI</w:t>
      </w:r>
      <w:r w:rsidR="003C0C59" w:rsidRPr="00441E95">
        <w:rPr>
          <w:rFonts w:ascii="Times New Roman" w:hAnsi="Times New Roman"/>
          <w:noProof w:val="0"/>
          <w:sz w:val="24"/>
          <w:lang w:eastAsia="hr-HR"/>
        </w:rPr>
        <w:t>-ju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. </w:t>
      </w:r>
    </w:p>
    <w:p w14:paraId="4B485CDD" w14:textId="77777777" w:rsidR="00F53607" w:rsidRPr="00441E95" w:rsidRDefault="00F53607" w:rsidP="00F53607">
      <w:pPr>
        <w:tabs>
          <w:tab w:val="clear" w:pos="2160"/>
        </w:tabs>
        <w:spacing w:before="0"/>
        <w:ind w:left="0" w:firstLine="0"/>
        <w:contextualSpacing/>
        <w:rPr>
          <w:rFonts w:ascii="Times New Roman" w:eastAsia="Calibri" w:hAnsi="Times New Roman"/>
          <w:noProof w:val="0"/>
          <w:sz w:val="24"/>
        </w:rPr>
      </w:pPr>
    </w:p>
    <w:p w14:paraId="321F6121" w14:textId="661EC384" w:rsidR="00F53607" w:rsidRPr="00441E95" w:rsidRDefault="00F53607" w:rsidP="00AF5A26">
      <w:pPr>
        <w:tabs>
          <w:tab w:val="clear" w:pos="2160"/>
        </w:tabs>
        <w:spacing w:before="0"/>
        <w:ind w:left="0" w:firstLine="0"/>
        <w:contextualSpacing/>
        <w:rPr>
          <w:rFonts w:ascii="Times New Roman" w:hAnsi="Times New Roman"/>
          <w:noProof w:val="0"/>
          <w:sz w:val="24"/>
        </w:rPr>
      </w:pPr>
      <w:r w:rsidRPr="00441E95">
        <w:rPr>
          <w:rFonts w:ascii="Times New Roman" w:hAnsi="Times New Roman"/>
          <w:noProof w:val="0"/>
          <w:sz w:val="24"/>
        </w:rPr>
        <w:t>UT prvenstveno zaprima navedena izvješća s ciljem redovitog i pravovremenog informiranja u svrhu praćenja napretka u provedbi FI</w:t>
      </w:r>
      <w:r w:rsidR="00634D0D">
        <w:rPr>
          <w:rFonts w:ascii="Times New Roman" w:hAnsi="Times New Roman"/>
          <w:noProof w:val="0"/>
          <w:sz w:val="24"/>
        </w:rPr>
        <w:t>-ja</w:t>
      </w:r>
      <w:r w:rsidRPr="00441E95">
        <w:rPr>
          <w:rFonts w:ascii="Times New Roman" w:hAnsi="Times New Roman"/>
          <w:noProof w:val="0"/>
          <w:sz w:val="24"/>
        </w:rPr>
        <w:t xml:space="preserve">. </w:t>
      </w:r>
    </w:p>
    <w:p w14:paraId="5976A830" w14:textId="77777777" w:rsidR="00200FCB" w:rsidRPr="00441E95" w:rsidRDefault="00200FCB" w:rsidP="00D77E36">
      <w:pPr>
        <w:tabs>
          <w:tab w:val="clear" w:pos="2160"/>
        </w:tabs>
        <w:spacing w:before="0" w:after="160" w:line="256" w:lineRule="auto"/>
        <w:ind w:left="0" w:firstLine="0"/>
        <w:contextualSpacing/>
        <w:rPr>
          <w:rFonts w:ascii="Times New Roman" w:eastAsia="Calibri" w:hAnsi="Times New Roman"/>
          <w:noProof w:val="0"/>
          <w:sz w:val="24"/>
          <w:lang w:eastAsia="hr-HR"/>
        </w:rPr>
      </w:pPr>
    </w:p>
    <w:p w14:paraId="381F2602" w14:textId="77777777" w:rsidR="000725B5" w:rsidRPr="00441E95" w:rsidRDefault="001D75A6" w:rsidP="0056286D">
      <w:pPr>
        <w:keepNext/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7" w:lineRule="auto"/>
        <w:ind w:left="0" w:firstLine="0"/>
        <w:contextualSpacing/>
        <w:rPr>
          <w:rFonts w:ascii="Times New Roman" w:eastAsia="Calibri" w:hAnsi="Times New Roman"/>
          <w:b/>
          <w:noProof w:val="0"/>
          <w:sz w:val="24"/>
          <w:lang w:eastAsia="hr-HR"/>
        </w:rPr>
      </w:pPr>
      <w:r w:rsidRPr="00441E95">
        <w:rPr>
          <w:rFonts w:ascii="Times New Roman" w:eastAsia="Calibri" w:hAnsi="Times New Roman"/>
          <w:b/>
          <w:noProof w:val="0"/>
          <w:sz w:val="24"/>
          <w:lang w:eastAsia="hr-HR"/>
        </w:rPr>
        <w:t xml:space="preserve">7.9. Upravljanje rizicima </w:t>
      </w:r>
    </w:p>
    <w:p w14:paraId="1E01FC23" w14:textId="77777777" w:rsidR="000725B5" w:rsidRPr="00441E95" w:rsidRDefault="000725B5" w:rsidP="003975CB">
      <w:pPr>
        <w:keepNext/>
        <w:widowControl w:val="0"/>
        <w:spacing w:line="256" w:lineRule="auto"/>
        <w:ind w:left="0" w:firstLine="0"/>
        <w:rPr>
          <w:rFonts w:ascii="Times New Roman" w:eastAsia="Calibri" w:hAnsi="Times New Roman"/>
          <w:noProof w:val="0"/>
          <w:sz w:val="24"/>
          <w:u w:val="single"/>
          <w:lang w:eastAsia="hr-HR"/>
        </w:rPr>
      </w:pPr>
    </w:p>
    <w:p w14:paraId="4D328349" w14:textId="53D6C875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>UT imenuje osobu (i zamjenu) za upravljanje rizicima za FI te koordinatora (i zamjenu) za suzbijanje prijevara za FI, a koji vrše procjenu rizika aktivnosti vezanih za provedbu FI</w:t>
      </w:r>
      <w:r w:rsidR="0056286D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te izrađuju mapu procesnih rizika, uključujući i rizike od prevare. U mapi procesnih rizika utvrđuju se sustavni rizici za FI, razvijaju mjere ublažavanja rizika koje se uključuju u akcijski plan za ublažavanje rizika za FI.</w:t>
      </w:r>
    </w:p>
    <w:p w14:paraId="2D5E3735" w14:textId="77777777" w:rsidR="003975CB" w:rsidRPr="00441E95" w:rsidRDefault="003975CB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1FE6EEEA" w14:textId="77777777" w:rsidR="000725B5" w:rsidRPr="00441E95" w:rsidRDefault="001D75A6" w:rsidP="001A2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160"/>
        </w:tabs>
        <w:spacing w:before="0"/>
        <w:ind w:left="0" w:firstLine="0"/>
        <w:rPr>
          <w:rFonts w:ascii="Times New Roman" w:hAnsi="Times New Roman"/>
          <w:b/>
          <w:noProof w:val="0"/>
          <w:sz w:val="24"/>
          <w:lang w:eastAsia="hr-HR"/>
        </w:rPr>
      </w:pPr>
      <w:r w:rsidRPr="00441E95">
        <w:rPr>
          <w:rFonts w:ascii="Times New Roman" w:hAnsi="Times New Roman"/>
          <w:b/>
          <w:noProof w:val="0"/>
          <w:sz w:val="24"/>
          <w:lang w:eastAsia="hr-HR"/>
        </w:rPr>
        <w:t xml:space="preserve">7.10. </w:t>
      </w:r>
      <w:r w:rsidR="000725B5" w:rsidRPr="00441E95">
        <w:rPr>
          <w:rFonts w:ascii="Times New Roman" w:hAnsi="Times New Roman"/>
          <w:b/>
          <w:noProof w:val="0"/>
          <w:sz w:val="24"/>
          <w:lang w:eastAsia="hr-HR"/>
        </w:rPr>
        <w:t>Nepravilnosti</w:t>
      </w:r>
    </w:p>
    <w:p w14:paraId="79684858" w14:textId="77777777" w:rsidR="001D75A6" w:rsidRPr="00441E95" w:rsidRDefault="001D75A6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30AC40CB" w14:textId="5C8506E6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 xml:space="preserve">TPFI </w:t>
      </w:r>
      <w:r w:rsidR="00D60E46" w:rsidRPr="00441E95">
        <w:rPr>
          <w:rFonts w:ascii="Times New Roman" w:hAnsi="Times New Roman"/>
          <w:noProof w:val="0"/>
          <w:sz w:val="24"/>
          <w:lang w:eastAsia="hr-HR"/>
        </w:rPr>
        <w:t>imenuj</w:t>
      </w:r>
      <w:r w:rsidR="00D60E46">
        <w:rPr>
          <w:rFonts w:ascii="Times New Roman" w:hAnsi="Times New Roman"/>
          <w:noProof w:val="0"/>
          <w:sz w:val="24"/>
          <w:lang w:eastAsia="hr-HR"/>
        </w:rPr>
        <w:t>e</w:t>
      </w:r>
      <w:r w:rsidR="00D60E46" w:rsidRPr="00441E95">
        <w:rPr>
          <w:rFonts w:ascii="Times New Roman" w:hAnsi="Times New Roman"/>
          <w:noProof w:val="0"/>
          <w:sz w:val="24"/>
          <w:lang w:eastAsia="hr-HR"/>
        </w:rPr>
        <w:t xml:space="preserve"> </w:t>
      </w:r>
      <w:r w:rsidRPr="00441E95">
        <w:rPr>
          <w:rFonts w:ascii="Times New Roman" w:hAnsi="Times New Roman"/>
          <w:noProof w:val="0"/>
          <w:sz w:val="24"/>
          <w:lang w:eastAsia="hr-HR"/>
        </w:rPr>
        <w:t>osobu za nepravilnosti koja u pogledu provedbe FI</w:t>
      </w:r>
      <w:r w:rsidR="0056286D" w:rsidRPr="00441E95">
        <w:rPr>
          <w:rFonts w:ascii="Times New Roman" w:hAnsi="Times New Roman"/>
          <w:noProof w:val="0"/>
          <w:sz w:val="24"/>
          <w:lang w:eastAsia="hr-HR"/>
        </w:rPr>
        <w:t>-ja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izvješćuje UT o sumnjama na nepravilnosti, kao i o utvrđenim nepravilnostima te povratima sredstava uzrokovanima nepravilnostima.</w:t>
      </w:r>
    </w:p>
    <w:p w14:paraId="5B3E8A14" w14:textId="4E3F0E1D" w:rsidR="000725B5" w:rsidRPr="00441E95" w:rsidRDefault="000725B5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 xml:space="preserve">TPFI </w:t>
      </w:r>
      <w:r w:rsidR="00D60E46">
        <w:rPr>
          <w:rFonts w:ascii="Times New Roman" w:hAnsi="Times New Roman"/>
          <w:noProof w:val="0"/>
          <w:sz w:val="24"/>
          <w:lang w:eastAsia="hr-HR"/>
        </w:rPr>
        <w:t>je</w:t>
      </w:r>
      <w:r w:rsidR="00D60E46" w:rsidRPr="00441E95">
        <w:rPr>
          <w:rFonts w:ascii="Times New Roman" w:hAnsi="Times New Roman"/>
          <w:noProof w:val="0"/>
          <w:sz w:val="24"/>
          <w:lang w:eastAsia="hr-HR"/>
        </w:rPr>
        <w:t xml:space="preserve"> odgovora</w:t>
      </w:r>
      <w:r w:rsidR="00D60E46">
        <w:rPr>
          <w:rFonts w:ascii="Times New Roman" w:hAnsi="Times New Roman"/>
          <w:noProof w:val="0"/>
          <w:sz w:val="24"/>
          <w:lang w:eastAsia="hr-HR"/>
        </w:rPr>
        <w:t>n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za povrat iznosa doprinosa OPKK-a koji su zahvaćeni nepravilnostima, zajedno s kamatom i svim drugim dobicima nastalih korištenjem tih doprinosa.</w:t>
      </w:r>
    </w:p>
    <w:p w14:paraId="3C716E1E" w14:textId="77777777" w:rsidR="003975CB" w:rsidRPr="00441E95" w:rsidRDefault="003975CB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13F5FF17" w14:textId="640D46F3" w:rsidR="000725B5" w:rsidRPr="00441E95" w:rsidRDefault="001D75A6" w:rsidP="001A2A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2160"/>
        </w:tabs>
        <w:spacing w:before="0"/>
        <w:ind w:left="0" w:firstLine="0"/>
        <w:rPr>
          <w:rFonts w:ascii="Times New Roman" w:hAnsi="Times New Roman"/>
          <w:b/>
          <w:noProof w:val="0"/>
          <w:sz w:val="24"/>
          <w:lang w:eastAsia="hr-HR"/>
        </w:rPr>
      </w:pPr>
      <w:r w:rsidRPr="00441E95">
        <w:rPr>
          <w:rFonts w:ascii="Times New Roman" w:hAnsi="Times New Roman"/>
          <w:b/>
          <w:noProof w:val="0"/>
          <w:sz w:val="24"/>
          <w:lang w:eastAsia="hr-HR"/>
        </w:rPr>
        <w:t xml:space="preserve">7.11. </w:t>
      </w:r>
      <w:r w:rsidR="005C369E">
        <w:rPr>
          <w:rFonts w:ascii="Times New Roman" w:hAnsi="Times New Roman"/>
          <w:b/>
          <w:noProof w:val="0"/>
          <w:sz w:val="24"/>
          <w:lang w:eastAsia="hr-HR"/>
        </w:rPr>
        <w:t>Zaključivanje</w:t>
      </w:r>
      <w:r w:rsidR="005C369E" w:rsidRPr="00441E95">
        <w:rPr>
          <w:rFonts w:ascii="Times New Roman" w:hAnsi="Times New Roman"/>
          <w:b/>
          <w:noProof w:val="0"/>
          <w:sz w:val="24"/>
          <w:lang w:eastAsia="hr-HR"/>
        </w:rPr>
        <w:t xml:space="preserve"> </w:t>
      </w:r>
      <w:r w:rsidR="000725B5" w:rsidRPr="00441E95">
        <w:rPr>
          <w:rFonts w:ascii="Times New Roman" w:hAnsi="Times New Roman"/>
          <w:b/>
          <w:noProof w:val="0"/>
          <w:sz w:val="24"/>
          <w:lang w:eastAsia="hr-HR"/>
        </w:rPr>
        <w:t>FI</w:t>
      </w:r>
    </w:p>
    <w:p w14:paraId="5F47D3B2" w14:textId="77777777" w:rsidR="001D75A6" w:rsidRPr="00441E95" w:rsidRDefault="001D75A6" w:rsidP="001A2AFF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p w14:paraId="1A437743" w14:textId="1370B1C7" w:rsidR="000725B5" w:rsidRPr="00441E95" w:rsidRDefault="000725B5" w:rsidP="00D77E36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  <w:r w:rsidRPr="00441E95">
        <w:rPr>
          <w:rFonts w:ascii="Times New Roman" w:hAnsi="Times New Roman"/>
          <w:noProof w:val="0"/>
          <w:sz w:val="24"/>
          <w:lang w:eastAsia="hr-HR"/>
        </w:rPr>
        <w:t xml:space="preserve">Postupak </w:t>
      </w:r>
      <w:r w:rsidR="005C369E">
        <w:rPr>
          <w:rFonts w:ascii="Times New Roman" w:hAnsi="Times New Roman"/>
          <w:noProof w:val="0"/>
          <w:sz w:val="24"/>
          <w:lang w:eastAsia="hr-HR"/>
        </w:rPr>
        <w:t>zaključivanja</w:t>
      </w:r>
      <w:r w:rsidR="005C369E" w:rsidRPr="00441E95">
        <w:rPr>
          <w:rFonts w:ascii="Times New Roman" w:hAnsi="Times New Roman"/>
          <w:noProof w:val="0"/>
          <w:sz w:val="24"/>
          <w:lang w:eastAsia="hr-HR"/>
        </w:rPr>
        <w:t xml:space="preserve"> </w:t>
      </w:r>
      <w:r w:rsidRPr="00441E95">
        <w:rPr>
          <w:rFonts w:ascii="Times New Roman" w:hAnsi="Times New Roman"/>
          <w:noProof w:val="0"/>
          <w:sz w:val="24"/>
          <w:lang w:eastAsia="hr-HR"/>
        </w:rPr>
        <w:t>FI-</w:t>
      </w:r>
      <w:r w:rsidR="003C0C59" w:rsidRPr="00441E95">
        <w:rPr>
          <w:rFonts w:ascii="Times New Roman" w:hAnsi="Times New Roman"/>
          <w:noProof w:val="0"/>
          <w:sz w:val="24"/>
          <w:lang w:eastAsia="hr-HR"/>
        </w:rPr>
        <w:t>j</w:t>
      </w:r>
      <w:r w:rsidRPr="00441E95">
        <w:rPr>
          <w:rFonts w:ascii="Times New Roman" w:hAnsi="Times New Roman"/>
          <w:noProof w:val="0"/>
          <w:sz w:val="24"/>
          <w:lang w:eastAsia="hr-HR"/>
        </w:rPr>
        <w:t>a vodi UT. Kad se radi o kapitaliziranim troškovima upravljanja i naknadama za upravljanje, UT je odgovoran za prihvatljive izdatke za FI kod zatvaranja OPKK-a, na osnovi informacija koje mu dostav</w:t>
      </w:r>
      <w:r w:rsidR="009150CF" w:rsidRPr="00441E95">
        <w:rPr>
          <w:rFonts w:ascii="Times New Roman" w:hAnsi="Times New Roman"/>
          <w:noProof w:val="0"/>
          <w:sz w:val="24"/>
          <w:lang w:eastAsia="hr-HR"/>
        </w:rPr>
        <w:t>i</w:t>
      </w:r>
      <w:r w:rsidRPr="00441E95">
        <w:rPr>
          <w:rFonts w:ascii="Times New Roman" w:hAnsi="Times New Roman"/>
          <w:noProof w:val="0"/>
          <w:sz w:val="24"/>
          <w:lang w:eastAsia="hr-HR"/>
        </w:rPr>
        <w:t xml:space="preserve"> TPFI.</w:t>
      </w:r>
    </w:p>
    <w:p w14:paraId="2CF22A25" w14:textId="77777777" w:rsidR="0030630B" w:rsidRPr="00441E95" w:rsidRDefault="0030630B" w:rsidP="00D77E36">
      <w:pPr>
        <w:tabs>
          <w:tab w:val="clear" w:pos="2160"/>
        </w:tabs>
        <w:spacing w:before="0"/>
        <w:ind w:left="0" w:firstLine="0"/>
        <w:rPr>
          <w:rFonts w:ascii="Times New Roman" w:hAnsi="Times New Roman"/>
          <w:noProof w:val="0"/>
          <w:sz w:val="24"/>
          <w:lang w:eastAsia="hr-HR"/>
        </w:rPr>
      </w:pPr>
    </w:p>
    <w:tbl>
      <w:tblPr>
        <w:tblStyle w:val="TableGrid"/>
        <w:tblW w:w="9627" w:type="dxa"/>
        <w:tblInd w:w="-147" w:type="dxa"/>
        <w:tblLook w:val="04A0" w:firstRow="1" w:lastRow="0" w:firstColumn="1" w:lastColumn="0" w:noHBand="0" w:noVBand="1"/>
      </w:tblPr>
      <w:tblGrid>
        <w:gridCol w:w="9627"/>
      </w:tblGrid>
      <w:tr w:rsidR="00EF2898" w:rsidRPr="00441E95" w14:paraId="38740FC7" w14:textId="77777777" w:rsidTr="00EF2898">
        <w:trPr>
          <w:trHeight w:val="649"/>
        </w:trPr>
        <w:tc>
          <w:tcPr>
            <w:tcW w:w="9627" w:type="dxa"/>
            <w:shd w:val="clear" w:color="auto" w:fill="D9D9D9" w:themeFill="background1" w:themeFillShade="D9"/>
          </w:tcPr>
          <w:p w14:paraId="04BBECB2" w14:textId="61E57DCC" w:rsidR="00EF2898" w:rsidRPr="00441E95" w:rsidRDefault="00EF2898" w:rsidP="00EF2898">
            <w:pPr>
              <w:pStyle w:val="Heading1"/>
              <w:spacing w:before="360" w:after="360"/>
              <w:rPr>
                <w:rFonts w:ascii="Times New Roman" w:hAnsi="Times New Roman" w:cs="Times New Roman"/>
                <w:noProof w:val="0"/>
                <w:sz w:val="24"/>
              </w:rPr>
            </w:pPr>
            <w:bookmarkStart w:id="38" w:name="_Toc447899801"/>
            <w:bookmarkStart w:id="39" w:name="_Toc3300640"/>
            <w:bookmarkStart w:id="40" w:name="_Toc3300679"/>
            <w:r w:rsidRPr="00441E95">
              <w:rPr>
                <w:rFonts w:ascii="Times New Roman" w:hAnsi="Times New Roman" w:cs="Times New Roman"/>
                <w:noProof w:val="0"/>
                <w:sz w:val="24"/>
              </w:rPr>
              <w:t>8. PREGLED PROMJENA</w:t>
            </w:r>
          </w:p>
        </w:tc>
      </w:tr>
      <w:bookmarkEnd w:id="38"/>
      <w:bookmarkEnd w:id="39"/>
      <w:bookmarkEnd w:id="40"/>
    </w:tbl>
    <w:p w14:paraId="166C8B72" w14:textId="77777777" w:rsidR="003D1F19" w:rsidRPr="00441E95" w:rsidRDefault="003D1F19" w:rsidP="001A2AFF">
      <w:pPr>
        <w:spacing w:before="0"/>
        <w:rPr>
          <w:rFonts w:ascii="Times New Roman" w:hAnsi="Times New Roman"/>
          <w:noProof w:val="0"/>
          <w:sz w:val="24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"/>
        <w:gridCol w:w="1353"/>
        <w:gridCol w:w="5531"/>
        <w:gridCol w:w="1672"/>
      </w:tblGrid>
      <w:tr w:rsidR="00850478" w:rsidRPr="00441E95" w14:paraId="37CEA824" w14:textId="77777777" w:rsidTr="00344050">
        <w:tc>
          <w:tcPr>
            <w:tcW w:w="480" w:type="pct"/>
            <w:shd w:val="clear" w:color="auto" w:fill="auto"/>
            <w:vAlign w:val="center"/>
            <w:hideMark/>
          </w:tcPr>
          <w:p w14:paraId="5D2E53BA" w14:textId="77777777" w:rsidR="003D1F19" w:rsidRPr="00441E95" w:rsidRDefault="003D1F19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lastRenderedPageBreak/>
              <w:t>Broj verzije</w:t>
            </w:r>
          </w:p>
        </w:tc>
        <w:tc>
          <w:tcPr>
            <w:tcW w:w="715" w:type="pct"/>
            <w:shd w:val="clear" w:color="auto" w:fill="auto"/>
            <w:vAlign w:val="center"/>
            <w:hideMark/>
          </w:tcPr>
          <w:p w14:paraId="554EF311" w14:textId="77777777" w:rsidR="003D1F19" w:rsidRPr="00441E95" w:rsidRDefault="003D1F19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Datum izmjene</w:t>
            </w: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br/>
              <w:t>(datum odobrenja)</w:t>
            </w:r>
          </w:p>
        </w:tc>
        <w:tc>
          <w:tcPr>
            <w:tcW w:w="2921" w:type="pct"/>
            <w:shd w:val="clear" w:color="auto" w:fill="auto"/>
            <w:vAlign w:val="center"/>
            <w:hideMark/>
          </w:tcPr>
          <w:p w14:paraId="50CFAD9D" w14:textId="074A9333" w:rsidR="003D1F19" w:rsidRPr="00441E95" w:rsidRDefault="003D1F19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 xml:space="preserve">Poglavlja/odjeljci/postupci koji </w:t>
            </w:r>
            <w:r w:rsidR="00895051"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 xml:space="preserve">su </w:t>
            </w: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mijenjani</w:t>
            </w:r>
          </w:p>
        </w:tc>
        <w:tc>
          <w:tcPr>
            <w:tcW w:w="883" w:type="pct"/>
            <w:shd w:val="clear" w:color="auto" w:fill="auto"/>
            <w:vAlign w:val="center"/>
            <w:hideMark/>
          </w:tcPr>
          <w:p w14:paraId="4A444317" w14:textId="77777777" w:rsidR="003D1F19" w:rsidRPr="00441E95" w:rsidRDefault="003D1F19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t>Komentar</w:t>
            </w:r>
            <w:r w:rsidRPr="00441E95">
              <w:rPr>
                <w:rFonts w:ascii="Times New Roman" w:hAnsi="Times New Roman"/>
                <w:b/>
                <w:noProof w:val="0"/>
                <w:sz w:val="24"/>
                <w:szCs w:val="24"/>
                <w:lang w:val="hr-HR"/>
              </w:rPr>
              <w:br/>
              <w:t>(ukoliko primjenjivo)</w:t>
            </w:r>
          </w:p>
        </w:tc>
      </w:tr>
      <w:tr w:rsidR="003D1F19" w:rsidRPr="00441E95" w14:paraId="7F2088E9" w14:textId="77777777" w:rsidTr="00344050">
        <w:tc>
          <w:tcPr>
            <w:tcW w:w="480" w:type="pct"/>
            <w:shd w:val="clear" w:color="auto" w:fill="auto"/>
            <w:vAlign w:val="center"/>
          </w:tcPr>
          <w:p w14:paraId="0E153E4E" w14:textId="77777777" w:rsidR="003D1F19" w:rsidRPr="00441E95" w:rsidRDefault="003D1F19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  <w:tc>
          <w:tcPr>
            <w:tcW w:w="715" w:type="pct"/>
            <w:shd w:val="clear" w:color="auto" w:fill="auto"/>
            <w:vAlign w:val="center"/>
          </w:tcPr>
          <w:p w14:paraId="6003E5EA" w14:textId="77777777" w:rsidR="003D1F19" w:rsidRPr="00441E95" w:rsidRDefault="001F7D7F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2017.</w:t>
            </w:r>
          </w:p>
        </w:tc>
        <w:tc>
          <w:tcPr>
            <w:tcW w:w="2921" w:type="pct"/>
            <w:shd w:val="clear" w:color="auto" w:fill="auto"/>
            <w:vAlign w:val="center"/>
          </w:tcPr>
          <w:p w14:paraId="109828F6" w14:textId="77777777" w:rsidR="0050390E" w:rsidRPr="00441E95" w:rsidRDefault="0050390E" w:rsidP="00EA6306">
            <w:pPr>
              <w:pStyle w:val="ListParagraph"/>
              <w:numPr>
                <w:ilvl w:val="0"/>
                <w:numId w:val="8"/>
              </w:numPr>
              <w:tabs>
                <w:tab w:val="left" w:pos="227"/>
              </w:tabs>
              <w:spacing w:before="0" w:after="0" w:line="240" w:lineRule="auto"/>
              <w:ind w:left="187" w:hanging="142"/>
              <w:jc w:val="both"/>
              <w:rPr>
                <w:rFonts w:ascii="Times New Roman" w:hAnsi="Times New Roman"/>
                <w:noProof w:val="0"/>
                <w:sz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</w:rPr>
              <w:t>Ispravak sitnih tipfelera</w:t>
            </w:r>
          </w:p>
          <w:p w14:paraId="38682EDF" w14:textId="77777777" w:rsidR="00114B2F" w:rsidRPr="00441E95" w:rsidRDefault="00114B2F" w:rsidP="00EA6306">
            <w:pPr>
              <w:pStyle w:val="ListParagraph"/>
              <w:numPr>
                <w:ilvl w:val="0"/>
                <w:numId w:val="8"/>
              </w:numPr>
              <w:tabs>
                <w:tab w:val="left" w:pos="227"/>
              </w:tabs>
              <w:spacing w:before="0" w:after="0" w:line="240" w:lineRule="auto"/>
              <w:ind w:left="187" w:hanging="142"/>
              <w:jc w:val="both"/>
              <w:rPr>
                <w:rFonts w:ascii="Times New Roman" w:hAnsi="Times New Roman"/>
                <w:noProof w:val="0"/>
                <w:sz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</w:rPr>
              <w:t xml:space="preserve">Dodavanje </w:t>
            </w:r>
            <w:r w:rsidRPr="00441E95">
              <w:rPr>
                <w:rFonts w:ascii="Times New Roman" w:hAnsi="Times New Roman"/>
                <w:noProof w:val="0"/>
                <w:sz w:val="24"/>
                <w:szCs w:val="24"/>
              </w:rPr>
              <w:t>definicije</w:t>
            </w:r>
            <w:r w:rsidRPr="00441E95">
              <w:rPr>
                <w:rFonts w:ascii="Times New Roman" w:hAnsi="Times New Roman"/>
                <w:noProof w:val="0"/>
                <w:sz w:val="24"/>
              </w:rPr>
              <w:t xml:space="preserve"> financijskih instrumenata – poglavlje 1.0 Svrha </w:t>
            </w:r>
          </w:p>
          <w:p w14:paraId="0FDB021F" w14:textId="77777777" w:rsidR="00B61EF4" w:rsidRPr="00441E95" w:rsidRDefault="00B61EF4" w:rsidP="00EA6306">
            <w:pPr>
              <w:pStyle w:val="ListParagraph"/>
              <w:numPr>
                <w:ilvl w:val="0"/>
                <w:numId w:val="8"/>
              </w:numPr>
              <w:tabs>
                <w:tab w:val="left" w:pos="227"/>
              </w:tabs>
              <w:spacing w:before="0" w:after="0" w:line="240" w:lineRule="auto"/>
              <w:ind w:left="187" w:hanging="142"/>
              <w:jc w:val="both"/>
              <w:rPr>
                <w:rFonts w:ascii="Times New Roman" w:hAnsi="Times New Roman"/>
                <w:noProof w:val="0"/>
                <w:sz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</w:rPr>
              <w:t>Dodavanje napomene o očekivanoj prilagodbi procedura za planirane FI koje će provoditi EIF – poglavlje 2.0 Opseg</w:t>
            </w:r>
          </w:p>
          <w:p w14:paraId="5FED2252" w14:textId="77777777" w:rsidR="0050390E" w:rsidRPr="00441E95" w:rsidRDefault="0050390E" w:rsidP="00EA6306">
            <w:pPr>
              <w:pStyle w:val="ListParagraph"/>
              <w:numPr>
                <w:ilvl w:val="0"/>
                <w:numId w:val="8"/>
              </w:numPr>
              <w:tabs>
                <w:tab w:val="left" w:pos="227"/>
              </w:tabs>
              <w:spacing w:before="0" w:after="0" w:line="240" w:lineRule="auto"/>
              <w:ind w:left="187" w:hanging="142"/>
              <w:jc w:val="both"/>
              <w:rPr>
                <w:rFonts w:ascii="Times New Roman" w:hAnsi="Times New Roman"/>
                <w:noProof w:val="0"/>
                <w:sz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</w:rPr>
              <w:t>Brisanje definicija koje se ne spominju u samom tekstu poglavlja str. 4-1</w:t>
            </w:r>
            <w:r w:rsidR="00C15EEC" w:rsidRPr="00441E95">
              <w:rPr>
                <w:rFonts w:ascii="Times New Roman" w:hAnsi="Times New Roman"/>
                <w:noProof w:val="0"/>
                <w:sz w:val="24"/>
              </w:rPr>
              <w:t>2</w:t>
            </w:r>
          </w:p>
          <w:p w14:paraId="274A936F" w14:textId="52FDB8EF" w:rsidR="004565B5" w:rsidRPr="00441E95" w:rsidRDefault="004565B5" w:rsidP="00EA6306">
            <w:pPr>
              <w:pStyle w:val="ListParagraph"/>
              <w:numPr>
                <w:ilvl w:val="0"/>
                <w:numId w:val="8"/>
              </w:numPr>
              <w:tabs>
                <w:tab w:val="left" w:pos="227"/>
              </w:tabs>
              <w:spacing w:before="0" w:after="0" w:line="240" w:lineRule="auto"/>
              <w:ind w:left="187" w:hanging="142"/>
              <w:jc w:val="both"/>
              <w:rPr>
                <w:rFonts w:ascii="Times New Roman" w:hAnsi="Times New Roman"/>
                <w:noProof w:val="0"/>
                <w:sz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</w:rPr>
              <w:t xml:space="preserve">Dodavanje definicije </w:t>
            </w:r>
            <w:r w:rsidR="00C578E5">
              <w:rPr>
                <w:rFonts w:ascii="Times New Roman" w:hAnsi="Times New Roman"/>
                <w:noProof w:val="0"/>
                <w:sz w:val="24"/>
              </w:rPr>
              <w:t>namjenskog</w:t>
            </w:r>
            <w:r w:rsidR="00C578E5" w:rsidRPr="00441E95">
              <w:rPr>
                <w:rFonts w:ascii="Times New Roman" w:hAnsi="Times New Roman"/>
                <w:noProof w:val="0"/>
                <w:sz w:val="24"/>
              </w:rPr>
              <w:t xml:space="preserve"> </w:t>
            </w:r>
            <w:r w:rsidRPr="00441E95">
              <w:rPr>
                <w:rFonts w:ascii="Times New Roman" w:hAnsi="Times New Roman"/>
                <w:noProof w:val="0"/>
                <w:sz w:val="24"/>
              </w:rPr>
              <w:t>računa str</w:t>
            </w:r>
            <w:r w:rsidR="009D1110" w:rsidRPr="00441E95">
              <w:rPr>
                <w:rFonts w:ascii="Times New Roman" w:hAnsi="Times New Roman"/>
                <w:noProof w:val="0"/>
                <w:sz w:val="24"/>
              </w:rPr>
              <w:t>.</w:t>
            </w:r>
            <w:r w:rsidR="002502A0" w:rsidRPr="00441E95">
              <w:rPr>
                <w:rFonts w:ascii="Times New Roman" w:hAnsi="Times New Roman"/>
                <w:noProof w:val="0"/>
                <w:sz w:val="24"/>
              </w:rPr>
              <w:t xml:space="preserve"> 10</w:t>
            </w:r>
          </w:p>
          <w:p w14:paraId="7306D586" w14:textId="77777777" w:rsidR="002502A0" w:rsidRPr="00441E95" w:rsidRDefault="00303DB3" w:rsidP="00EA6306">
            <w:pPr>
              <w:pStyle w:val="ListParagraph"/>
              <w:numPr>
                <w:ilvl w:val="0"/>
                <w:numId w:val="8"/>
              </w:numPr>
              <w:tabs>
                <w:tab w:val="left" w:pos="227"/>
              </w:tabs>
              <w:spacing w:before="0" w:after="0" w:line="240" w:lineRule="auto"/>
              <w:ind w:left="187" w:hanging="142"/>
              <w:jc w:val="both"/>
              <w:rPr>
                <w:rFonts w:ascii="Times New Roman" w:hAnsi="Times New Roman"/>
                <w:noProof w:val="0"/>
                <w:sz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</w:rPr>
              <w:t>Ažuriranje nacionalnog i europskog pravnog okvira str. 3</w:t>
            </w:r>
          </w:p>
          <w:p w14:paraId="683A6B77" w14:textId="77777777" w:rsidR="00B61EF4" w:rsidRPr="00441E95" w:rsidRDefault="00B61EF4" w:rsidP="00EA6306">
            <w:pPr>
              <w:pStyle w:val="ListParagraph"/>
              <w:numPr>
                <w:ilvl w:val="0"/>
                <w:numId w:val="8"/>
              </w:numPr>
              <w:tabs>
                <w:tab w:val="left" w:pos="227"/>
              </w:tabs>
              <w:spacing w:before="0" w:after="0" w:line="240" w:lineRule="auto"/>
              <w:ind w:left="187" w:hanging="142"/>
              <w:jc w:val="both"/>
              <w:rPr>
                <w:rFonts w:ascii="Times New Roman" w:hAnsi="Times New Roman"/>
                <w:noProof w:val="0"/>
                <w:sz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</w:rPr>
              <w:t>Prilagodba RACI tablice i dodavanje funkcija TO</w:t>
            </w:r>
          </w:p>
          <w:p w14:paraId="2439A2C0" w14:textId="77777777" w:rsidR="005C49D5" w:rsidRPr="00441E95" w:rsidRDefault="005C49D5" w:rsidP="00EA6306">
            <w:pPr>
              <w:pStyle w:val="ListParagraph"/>
              <w:numPr>
                <w:ilvl w:val="0"/>
                <w:numId w:val="8"/>
              </w:numPr>
              <w:tabs>
                <w:tab w:val="left" w:pos="227"/>
              </w:tabs>
              <w:spacing w:before="0" w:after="0" w:line="240" w:lineRule="auto"/>
              <w:ind w:left="187" w:hanging="142"/>
              <w:jc w:val="both"/>
              <w:rPr>
                <w:rFonts w:ascii="Times New Roman" w:hAnsi="Times New Roman"/>
                <w:noProof w:val="0"/>
                <w:sz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</w:rPr>
              <w:t>Pojašnjenje angažiranja stručnjaka u P1.</w:t>
            </w:r>
          </w:p>
          <w:p w14:paraId="52257684" w14:textId="77777777" w:rsidR="00823BCD" w:rsidRPr="00441E95" w:rsidRDefault="00823BCD" w:rsidP="00EA6306">
            <w:pPr>
              <w:pStyle w:val="ListParagraph"/>
              <w:numPr>
                <w:ilvl w:val="0"/>
                <w:numId w:val="8"/>
              </w:numPr>
              <w:tabs>
                <w:tab w:val="left" w:pos="227"/>
              </w:tabs>
              <w:spacing w:before="0" w:after="0" w:line="240" w:lineRule="auto"/>
              <w:ind w:left="187" w:hanging="142"/>
              <w:jc w:val="both"/>
              <w:rPr>
                <w:rFonts w:ascii="Times New Roman" w:hAnsi="Times New Roman"/>
                <w:noProof w:val="0"/>
                <w:sz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</w:rPr>
              <w:t>Pojašnjenje uspostave FI u A3.1.</w:t>
            </w:r>
          </w:p>
          <w:p w14:paraId="02408CD5" w14:textId="77777777" w:rsidR="00075393" w:rsidRPr="00441E95" w:rsidRDefault="00075393" w:rsidP="00EA6306">
            <w:pPr>
              <w:pStyle w:val="ListParagraph"/>
              <w:numPr>
                <w:ilvl w:val="0"/>
                <w:numId w:val="8"/>
              </w:numPr>
              <w:tabs>
                <w:tab w:val="left" w:pos="227"/>
              </w:tabs>
              <w:spacing w:before="0" w:after="0" w:line="240" w:lineRule="auto"/>
              <w:ind w:left="187" w:hanging="142"/>
              <w:jc w:val="both"/>
              <w:rPr>
                <w:rFonts w:ascii="Times New Roman" w:hAnsi="Times New Roman"/>
                <w:noProof w:val="0"/>
                <w:sz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</w:rPr>
              <w:t>Naznaka da se Zahtjevi za plaćanje</w:t>
            </w:r>
            <w:r w:rsidR="00655B0C" w:rsidRPr="00441E95">
              <w:rPr>
                <w:rFonts w:ascii="Times New Roman" w:hAnsi="Times New Roman"/>
                <w:noProof w:val="0"/>
                <w:sz w:val="24"/>
              </w:rPr>
              <w:t xml:space="preserve"> iskazuju u kunama </w:t>
            </w:r>
            <w:r w:rsidR="00823BCD" w:rsidRPr="00441E95">
              <w:rPr>
                <w:rFonts w:ascii="Times New Roman" w:hAnsi="Times New Roman"/>
                <w:noProof w:val="0"/>
                <w:sz w:val="24"/>
              </w:rPr>
              <w:t>u</w:t>
            </w:r>
            <w:r w:rsidR="00655B0C" w:rsidRPr="00441E95">
              <w:rPr>
                <w:rFonts w:ascii="Times New Roman" w:hAnsi="Times New Roman"/>
                <w:noProof w:val="0"/>
                <w:sz w:val="24"/>
              </w:rPr>
              <w:t xml:space="preserve"> P</w:t>
            </w:r>
            <w:r w:rsidRPr="00441E95">
              <w:rPr>
                <w:rFonts w:ascii="Times New Roman" w:hAnsi="Times New Roman"/>
                <w:noProof w:val="0"/>
                <w:sz w:val="24"/>
              </w:rPr>
              <w:t xml:space="preserve">4. </w:t>
            </w:r>
          </w:p>
          <w:p w14:paraId="016789EB" w14:textId="6AAC8582" w:rsidR="0050390E" w:rsidRPr="00441E95" w:rsidRDefault="0050390E" w:rsidP="00EA6306">
            <w:pPr>
              <w:pStyle w:val="ListParagraph"/>
              <w:numPr>
                <w:ilvl w:val="0"/>
                <w:numId w:val="8"/>
              </w:numPr>
              <w:tabs>
                <w:tab w:val="left" w:pos="319"/>
              </w:tabs>
              <w:spacing w:before="0" w:after="0" w:line="240" w:lineRule="auto"/>
              <w:ind w:left="177" w:hanging="132"/>
              <w:jc w:val="both"/>
              <w:rPr>
                <w:rFonts w:ascii="Times New Roman" w:hAnsi="Times New Roman"/>
                <w:noProof w:val="0"/>
                <w:sz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</w:rPr>
              <w:t xml:space="preserve">Pojašnjenje izuzeća </w:t>
            </w:r>
            <w:r w:rsidR="006F6045" w:rsidRPr="00441E95">
              <w:rPr>
                <w:rFonts w:ascii="Times New Roman" w:hAnsi="Times New Roman"/>
                <w:noProof w:val="0"/>
                <w:sz w:val="24"/>
              </w:rPr>
              <w:t xml:space="preserve">od postupka </w:t>
            </w:r>
            <w:r w:rsidRPr="00441E95">
              <w:rPr>
                <w:rFonts w:ascii="Times New Roman" w:hAnsi="Times New Roman"/>
                <w:i/>
                <w:noProof w:val="0"/>
                <w:sz w:val="24"/>
              </w:rPr>
              <w:t>ex</w:t>
            </w:r>
            <w:r w:rsidR="00D32C02" w:rsidRPr="00441E95">
              <w:rPr>
                <w:rFonts w:ascii="Times New Roman" w:hAnsi="Times New Roman"/>
                <w:i/>
                <w:noProof w:val="0"/>
                <w:sz w:val="24"/>
              </w:rPr>
              <w:t xml:space="preserve"> </w:t>
            </w:r>
            <w:r w:rsidRPr="00441E95">
              <w:rPr>
                <w:rFonts w:ascii="Times New Roman" w:hAnsi="Times New Roman"/>
                <w:i/>
                <w:noProof w:val="0"/>
                <w:sz w:val="24"/>
              </w:rPr>
              <w:t>ante</w:t>
            </w:r>
            <w:r w:rsidRPr="00441E95">
              <w:rPr>
                <w:rFonts w:ascii="Times New Roman" w:hAnsi="Times New Roman"/>
                <w:noProof w:val="0"/>
                <w:sz w:val="24"/>
              </w:rPr>
              <w:t xml:space="preserve"> provjera nabave </w:t>
            </w:r>
            <w:r w:rsidR="006F6045" w:rsidRPr="00441E95">
              <w:rPr>
                <w:rFonts w:ascii="Times New Roman" w:hAnsi="Times New Roman"/>
                <w:noProof w:val="0"/>
                <w:sz w:val="24"/>
              </w:rPr>
              <w:t>propisanih u</w:t>
            </w:r>
            <w:r w:rsidRPr="00441E95">
              <w:rPr>
                <w:rFonts w:ascii="Times New Roman" w:hAnsi="Times New Roman"/>
                <w:noProof w:val="0"/>
                <w:sz w:val="24"/>
              </w:rPr>
              <w:t xml:space="preserve"> ZNP </w:t>
            </w:r>
            <w:r w:rsidR="00244843" w:rsidRPr="00441E95">
              <w:rPr>
                <w:rFonts w:ascii="Times New Roman" w:hAnsi="Times New Roman"/>
                <w:noProof w:val="0"/>
                <w:sz w:val="24"/>
              </w:rPr>
              <w:t xml:space="preserve">br. </w:t>
            </w:r>
            <w:r w:rsidRPr="00441E95">
              <w:rPr>
                <w:rFonts w:ascii="Times New Roman" w:hAnsi="Times New Roman"/>
                <w:noProof w:val="0"/>
                <w:sz w:val="24"/>
              </w:rPr>
              <w:t xml:space="preserve">05 </w:t>
            </w:r>
            <w:r w:rsidR="00823BCD" w:rsidRPr="00441E95">
              <w:rPr>
                <w:rFonts w:ascii="Times New Roman" w:hAnsi="Times New Roman"/>
                <w:noProof w:val="0"/>
                <w:sz w:val="24"/>
              </w:rPr>
              <w:t>u</w:t>
            </w:r>
            <w:r w:rsidR="009D1110" w:rsidRPr="00441E95">
              <w:rPr>
                <w:rFonts w:ascii="Times New Roman" w:hAnsi="Times New Roman"/>
                <w:noProof w:val="0"/>
                <w:sz w:val="24"/>
              </w:rPr>
              <w:t xml:space="preserve"> </w:t>
            </w:r>
            <w:r w:rsidR="009D1110" w:rsidRPr="00441E95">
              <w:rPr>
                <w:rFonts w:ascii="Times New Roman" w:eastAsia="Arial,Calibri" w:hAnsi="Times New Roman"/>
                <w:bCs/>
                <w:noProof w:val="0"/>
                <w:sz w:val="24"/>
                <w:szCs w:val="24"/>
              </w:rPr>
              <w:t xml:space="preserve">A4.1. </w:t>
            </w:r>
          </w:p>
          <w:p w14:paraId="7C22BB3C" w14:textId="77777777" w:rsidR="00C15EEC" w:rsidRPr="00441E95" w:rsidRDefault="00655B0C" w:rsidP="00EA6306">
            <w:pPr>
              <w:pStyle w:val="ListParagraph"/>
              <w:numPr>
                <w:ilvl w:val="0"/>
                <w:numId w:val="8"/>
              </w:numPr>
              <w:tabs>
                <w:tab w:val="left" w:pos="227"/>
              </w:tabs>
              <w:spacing w:before="0" w:after="0" w:line="240" w:lineRule="auto"/>
              <w:ind w:left="187" w:hanging="142"/>
              <w:jc w:val="both"/>
              <w:rPr>
                <w:rFonts w:ascii="Times New Roman" w:hAnsi="Times New Roman"/>
                <w:noProof w:val="0"/>
                <w:sz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</w:rPr>
              <w:t xml:space="preserve"> Dodavanje pojašnjenja da se prihvatljivost izdataka detaljnije određuje Uputom UT-a </w:t>
            </w:r>
            <w:r w:rsidR="00823BCD" w:rsidRPr="00441E95">
              <w:rPr>
                <w:rFonts w:ascii="Times New Roman" w:hAnsi="Times New Roman"/>
                <w:noProof w:val="0"/>
                <w:sz w:val="24"/>
              </w:rPr>
              <w:t>u</w:t>
            </w:r>
            <w:r w:rsidRPr="00441E95">
              <w:rPr>
                <w:rFonts w:ascii="Times New Roman" w:hAnsi="Times New Roman"/>
                <w:noProof w:val="0"/>
                <w:sz w:val="24"/>
              </w:rPr>
              <w:t xml:space="preserve"> A4.1 </w:t>
            </w:r>
          </w:p>
          <w:p w14:paraId="5B75ECD8" w14:textId="77777777" w:rsidR="00F255DC" w:rsidRPr="00441E95" w:rsidRDefault="00F255DC" w:rsidP="00EA6306">
            <w:pPr>
              <w:pStyle w:val="ListParagraph"/>
              <w:numPr>
                <w:ilvl w:val="0"/>
                <w:numId w:val="8"/>
              </w:numPr>
              <w:tabs>
                <w:tab w:val="left" w:pos="227"/>
              </w:tabs>
              <w:spacing w:before="0" w:after="0" w:line="240" w:lineRule="auto"/>
              <w:ind w:left="187" w:hanging="142"/>
              <w:jc w:val="both"/>
              <w:rPr>
                <w:rFonts w:ascii="Times New Roman" w:hAnsi="Times New Roman"/>
                <w:noProof w:val="0"/>
                <w:sz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</w:rPr>
              <w:t xml:space="preserve">Objašnjena uloga mjesečnih i tromjesečnih izvješća TPFI/FP u postupku utvrđivanja prihvatljivih izdataka i </w:t>
            </w:r>
            <w:r w:rsidR="00103099" w:rsidRPr="00441E95">
              <w:rPr>
                <w:rFonts w:ascii="Times New Roman" w:hAnsi="Times New Roman"/>
                <w:noProof w:val="0"/>
                <w:sz w:val="24"/>
              </w:rPr>
              <w:t>ovjeravanja</w:t>
            </w:r>
            <w:r w:rsidRPr="00441E95">
              <w:rPr>
                <w:rFonts w:ascii="Times New Roman" w:hAnsi="Times New Roman"/>
                <w:noProof w:val="0"/>
                <w:sz w:val="24"/>
              </w:rPr>
              <w:t xml:space="preserve"> </w:t>
            </w:r>
            <w:r w:rsidR="00823BCD" w:rsidRPr="00441E95">
              <w:rPr>
                <w:rFonts w:ascii="Times New Roman" w:hAnsi="Times New Roman"/>
                <w:noProof w:val="0"/>
                <w:sz w:val="24"/>
              </w:rPr>
              <w:t>u</w:t>
            </w:r>
            <w:r w:rsidRPr="00441E95">
              <w:rPr>
                <w:rFonts w:ascii="Times New Roman" w:hAnsi="Times New Roman"/>
                <w:noProof w:val="0"/>
                <w:sz w:val="24"/>
              </w:rPr>
              <w:t xml:space="preserve"> </w:t>
            </w:r>
            <w:r w:rsidR="00541013" w:rsidRPr="00441E95">
              <w:rPr>
                <w:rFonts w:ascii="Times New Roman" w:hAnsi="Times New Roman"/>
                <w:noProof w:val="0"/>
                <w:sz w:val="24"/>
              </w:rPr>
              <w:t>A4.</w:t>
            </w:r>
            <w:r w:rsidR="00103099" w:rsidRPr="00441E95">
              <w:rPr>
                <w:rFonts w:ascii="Times New Roman" w:hAnsi="Times New Roman"/>
                <w:noProof w:val="0"/>
                <w:sz w:val="24"/>
              </w:rPr>
              <w:t>3</w:t>
            </w:r>
            <w:r w:rsidR="00541013" w:rsidRPr="00441E95">
              <w:rPr>
                <w:rFonts w:ascii="Times New Roman" w:hAnsi="Times New Roman"/>
                <w:noProof w:val="0"/>
                <w:sz w:val="24"/>
              </w:rPr>
              <w:t xml:space="preserve">. </w:t>
            </w:r>
          </w:p>
          <w:p w14:paraId="560BF176" w14:textId="77777777" w:rsidR="00541013" w:rsidRPr="00441E95" w:rsidRDefault="00541013" w:rsidP="00EA6306">
            <w:pPr>
              <w:pStyle w:val="ListParagraph"/>
              <w:numPr>
                <w:ilvl w:val="0"/>
                <w:numId w:val="8"/>
              </w:numPr>
              <w:tabs>
                <w:tab w:val="left" w:pos="227"/>
              </w:tabs>
              <w:spacing w:before="0" w:after="0" w:line="240" w:lineRule="auto"/>
              <w:ind w:left="187" w:hanging="142"/>
              <w:jc w:val="both"/>
              <w:rPr>
                <w:rFonts w:ascii="Times New Roman" w:hAnsi="Times New Roman"/>
                <w:noProof w:val="0"/>
                <w:sz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</w:rPr>
              <w:t xml:space="preserve">Brisanje napomene da je </w:t>
            </w:r>
            <w:r w:rsidR="00FB07DE" w:rsidRPr="00441E95">
              <w:rPr>
                <w:rFonts w:ascii="Times New Roman" w:hAnsi="Times New Roman"/>
                <w:noProof w:val="0"/>
                <w:sz w:val="24"/>
              </w:rPr>
              <w:t xml:space="preserve">Zahtjev </w:t>
            </w:r>
            <w:r w:rsidRPr="00441E95">
              <w:rPr>
                <w:rFonts w:ascii="Times New Roman" w:hAnsi="Times New Roman"/>
                <w:noProof w:val="0"/>
                <w:sz w:val="24"/>
              </w:rPr>
              <w:t xml:space="preserve">za plaćanje uredan ako TPFI utroši 60% prve tranše </w:t>
            </w:r>
            <w:r w:rsidR="00823BCD" w:rsidRPr="00441E95">
              <w:rPr>
                <w:rFonts w:ascii="Times New Roman" w:hAnsi="Times New Roman"/>
                <w:noProof w:val="0"/>
                <w:sz w:val="24"/>
              </w:rPr>
              <w:t>u</w:t>
            </w:r>
            <w:r w:rsidRPr="00441E95">
              <w:rPr>
                <w:rFonts w:ascii="Times New Roman" w:hAnsi="Times New Roman"/>
                <w:noProof w:val="0"/>
                <w:sz w:val="24"/>
              </w:rPr>
              <w:t xml:space="preserve"> A4.2. </w:t>
            </w:r>
          </w:p>
          <w:p w14:paraId="233B114A" w14:textId="77777777" w:rsidR="00541013" w:rsidRPr="00441E95" w:rsidRDefault="00541013" w:rsidP="00EA6306">
            <w:pPr>
              <w:pStyle w:val="ListParagraph"/>
              <w:numPr>
                <w:ilvl w:val="0"/>
                <w:numId w:val="8"/>
              </w:numPr>
              <w:tabs>
                <w:tab w:val="left" w:pos="227"/>
              </w:tabs>
              <w:spacing w:before="0" w:after="0" w:line="240" w:lineRule="auto"/>
              <w:ind w:left="187" w:hanging="142"/>
              <w:jc w:val="both"/>
              <w:rPr>
                <w:rFonts w:ascii="Times New Roman" w:hAnsi="Times New Roman"/>
                <w:noProof w:val="0"/>
                <w:sz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</w:rPr>
              <w:t xml:space="preserve">Naznaka da se učestalost zaračunavanja upravljačkih troškova </w:t>
            </w:r>
            <w:r w:rsidR="00C42990" w:rsidRPr="00441E95">
              <w:rPr>
                <w:rFonts w:ascii="Times New Roman" w:hAnsi="Times New Roman"/>
                <w:noProof w:val="0"/>
                <w:sz w:val="24"/>
              </w:rPr>
              <w:t>i</w:t>
            </w:r>
            <w:r w:rsidR="00103099" w:rsidRPr="00441E95">
              <w:rPr>
                <w:rFonts w:ascii="Times New Roman" w:hAnsi="Times New Roman"/>
                <w:noProof w:val="0"/>
                <w:sz w:val="24"/>
              </w:rPr>
              <w:t xml:space="preserve"> </w:t>
            </w:r>
            <w:r w:rsidRPr="00441E95">
              <w:rPr>
                <w:rFonts w:ascii="Times New Roman" w:hAnsi="Times New Roman"/>
                <w:noProof w:val="0"/>
                <w:sz w:val="24"/>
              </w:rPr>
              <w:t xml:space="preserve">naknada za upravljanje definira SoF-om </w:t>
            </w:r>
            <w:r w:rsidR="00823BCD" w:rsidRPr="00441E95">
              <w:rPr>
                <w:rFonts w:ascii="Times New Roman" w:hAnsi="Times New Roman"/>
                <w:noProof w:val="0"/>
                <w:sz w:val="24"/>
              </w:rPr>
              <w:t>u</w:t>
            </w:r>
            <w:r w:rsidRPr="00441E95">
              <w:rPr>
                <w:rFonts w:ascii="Times New Roman" w:hAnsi="Times New Roman"/>
                <w:noProof w:val="0"/>
                <w:sz w:val="24"/>
              </w:rPr>
              <w:t xml:space="preserve"> A4.2. </w:t>
            </w:r>
          </w:p>
          <w:p w14:paraId="2C12FA0F" w14:textId="77777777" w:rsidR="00541013" w:rsidRPr="00441E95" w:rsidRDefault="00C90B8B" w:rsidP="00EA6306">
            <w:pPr>
              <w:pStyle w:val="ListParagraph"/>
              <w:numPr>
                <w:ilvl w:val="0"/>
                <w:numId w:val="8"/>
              </w:numPr>
              <w:tabs>
                <w:tab w:val="left" w:pos="227"/>
              </w:tabs>
              <w:spacing w:before="0" w:after="0" w:line="240" w:lineRule="auto"/>
              <w:ind w:left="187" w:hanging="142"/>
              <w:jc w:val="both"/>
              <w:rPr>
                <w:rFonts w:ascii="Times New Roman" w:hAnsi="Times New Roman"/>
                <w:noProof w:val="0"/>
                <w:sz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</w:rPr>
              <w:t xml:space="preserve"> Objašnjenje prihvatljivih izdataka </w:t>
            </w:r>
            <w:r w:rsidR="00823BCD" w:rsidRPr="00441E95">
              <w:rPr>
                <w:rFonts w:ascii="Times New Roman" w:hAnsi="Times New Roman"/>
                <w:noProof w:val="0"/>
                <w:sz w:val="24"/>
              </w:rPr>
              <w:t>u A4.2.</w:t>
            </w:r>
          </w:p>
          <w:p w14:paraId="6F0FD16F" w14:textId="77777777" w:rsidR="00DE7A06" w:rsidRPr="00441E95" w:rsidRDefault="00DE7A06" w:rsidP="00EA6306">
            <w:pPr>
              <w:pStyle w:val="ListParagraph"/>
              <w:numPr>
                <w:ilvl w:val="0"/>
                <w:numId w:val="8"/>
              </w:numPr>
              <w:tabs>
                <w:tab w:val="left" w:pos="227"/>
              </w:tabs>
              <w:spacing w:before="0" w:after="0" w:line="240" w:lineRule="auto"/>
              <w:ind w:left="187" w:hanging="142"/>
              <w:jc w:val="both"/>
              <w:rPr>
                <w:rFonts w:ascii="Times New Roman" w:hAnsi="Times New Roman"/>
                <w:noProof w:val="0"/>
                <w:sz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</w:rPr>
              <w:t>Brisanje zadnje rečenice u poglavlju A4.3. Ovjeravanje</w:t>
            </w:r>
            <w:r w:rsidR="00037C79" w:rsidRPr="00441E95">
              <w:rPr>
                <w:rFonts w:ascii="Times New Roman" w:hAnsi="Times New Roman"/>
                <w:noProof w:val="0"/>
                <w:sz w:val="24"/>
              </w:rPr>
              <w:t xml:space="preserve"> </w:t>
            </w:r>
          </w:p>
          <w:p w14:paraId="4CE2942C" w14:textId="77777777" w:rsidR="00823BCD" w:rsidRPr="00441E95" w:rsidRDefault="00823BCD" w:rsidP="00EA6306">
            <w:pPr>
              <w:pStyle w:val="ListParagraph"/>
              <w:numPr>
                <w:ilvl w:val="0"/>
                <w:numId w:val="8"/>
              </w:numPr>
              <w:tabs>
                <w:tab w:val="left" w:pos="227"/>
              </w:tabs>
              <w:spacing w:before="0" w:after="0" w:line="240" w:lineRule="auto"/>
              <w:ind w:left="187" w:hanging="142"/>
              <w:jc w:val="both"/>
              <w:rPr>
                <w:rFonts w:ascii="Times New Roman" w:hAnsi="Times New Roman"/>
                <w:noProof w:val="0"/>
                <w:sz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</w:rPr>
              <w:t>Detaljniji opis postupka upravljačkih provjera u A5.2</w:t>
            </w:r>
          </w:p>
          <w:p w14:paraId="2B5B37C6" w14:textId="77777777" w:rsidR="007463EE" w:rsidRPr="00441E95" w:rsidRDefault="007463EE" w:rsidP="00EA6306">
            <w:pPr>
              <w:pStyle w:val="ListParagraph"/>
              <w:numPr>
                <w:ilvl w:val="0"/>
                <w:numId w:val="8"/>
              </w:numPr>
              <w:tabs>
                <w:tab w:val="left" w:pos="227"/>
              </w:tabs>
              <w:spacing w:before="0" w:after="0" w:line="240" w:lineRule="auto"/>
              <w:ind w:left="187" w:hanging="142"/>
              <w:jc w:val="both"/>
              <w:rPr>
                <w:rFonts w:ascii="Times New Roman" w:hAnsi="Times New Roman"/>
                <w:noProof w:val="0"/>
                <w:sz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</w:rPr>
              <w:t xml:space="preserve"> </w:t>
            </w:r>
            <w:r w:rsidR="00103099" w:rsidRPr="00441E95">
              <w:rPr>
                <w:rFonts w:ascii="Times New Roman" w:hAnsi="Times New Roman"/>
                <w:noProof w:val="0"/>
                <w:sz w:val="24"/>
              </w:rPr>
              <w:t xml:space="preserve">Pojašnjenje </w:t>
            </w:r>
            <w:r w:rsidR="00823BCD" w:rsidRPr="00441E95">
              <w:rPr>
                <w:rFonts w:ascii="Times New Roman" w:hAnsi="Times New Roman"/>
                <w:noProof w:val="0"/>
                <w:sz w:val="24"/>
              </w:rPr>
              <w:t>i</w:t>
            </w:r>
            <w:r w:rsidR="00103099" w:rsidRPr="00441E95">
              <w:rPr>
                <w:rFonts w:ascii="Times New Roman" w:hAnsi="Times New Roman"/>
                <w:noProof w:val="0"/>
                <w:sz w:val="24"/>
              </w:rPr>
              <w:t xml:space="preserve"> n</w:t>
            </w:r>
            <w:r w:rsidRPr="00441E95">
              <w:rPr>
                <w:rFonts w:ascii="Times New Roman" w:hAnsi="Times New Roman"/>
                <w:noProof w:val="0"/>
                <w:sz w:val="24"/>
              </w:rPr>
              <w:t xml:space="preserve">aznaka da se postupak odobravanja izvješća definira PoP-om </w:t>
            </w:r>
            <w:r w:rsidR="00823BCD" w:rsidRPr="00441E95">
              <w:rPr>
                <w:rFonts w:ascii="Times New Roman" w:hAnsi="Times New Roman"/>
                <w:noProof w:val="0"/>
                <w:sz w:val="24"/>
              </w:rPr>
              <w:t>u</w:t>
            </w:r>
            <w:r w:rsidRPr="00441E95">
              <w:rPr>
                <w:rFonts w:ascii="Times New Roman" w:hAnsi="Times New Roman"/>
                <w:noProof w:val="0"/>
                <w:sz w:val="24"/>
              </w:rPr>
              <w:t xml:space="preserve"> A6.1. </w:t>
            </w:r>
          </w:p>
          <w:p w14:paraId="65776DF6" w14:textId="77777777" w:rsidR="003D1F19" w:rsidRPr="00441E95" w:rsidRDefault="00037C79" w:rsidP="00EA6306">
            <w:pPr>
              <w:pStyle w:val="ListParagraph"/>
              <w:numPr>
                <w:ilvl w:val="0"/>
                <w:numId w:val="8"/>
              </w:numPr>
              <w:tabs>
                <w:tab w:val="left" w:pos="227"/>
              </w:tabs>
              <w:spacing w:before="0" w:after="0" w:line="240" w:lineRule="auto"/>
              <w:ind w:left="187" w:hanging="142"/>
              <w:jc w:val="both"/>
              <w:rPr>
                <w:rFonts w:ascii="Times New Roman" w:hAnsi="Times New Roman"/>
                <w:noProof w:val="0"/>
                <w:sz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</w:rPr>
              <w:t>Dopuna naslova tablica u</w:t>
            </w:r>
            <w:r w:rsidR="0050390E" w:rsidRPr="00441E95">
              <w:rPr>
                <w:rFonts w:ascii="Times New Roman" w:hAnsi="Times New Roman"/>
                <w:noProof w:val="0"/>
                <w:sz w:val="24"/>
              </w:rPr>
              <w:t xml:space="preserve"> Prilog</w:t>
            </w:r>
            <w:r w:rsidRPr="00441E95">
              <w:rPr>
                <w:rFonts w:ascii="Times New Roman" w:hAnsi="Times New Roman"/>
                <w:noProof w:val="0"/>
                <w:sz w:val="24"/>
              </w:rPr>
              <w:t>u</w:t>
            </w:r>
            <w:r w:rsidR="0050390E" w:rsidRPr="00441E95">
              <w:rPr>
                <w:rFonts w:ascii="Times New Roman" w:hAnsi="Times New Roman"/>
                <w:noProof w:val="0"/>
                <w:sz w:val="24"/>
              </w:rPr>
              <w:t xml:space="preserve"> 03 Obrazac za mjesečno izvještavanje</w:t>
            </w:r>
          </w:p>
          <w:p w14:paraId="31C257B3" w14:textId="77777777" w:rsidR="00672533" w:rsidRPr="00441E95" w:rsidRDefault="002D7424" w:rsidP="00EA6306">
            <w:pPr>
              <w:pStyle w:val="ListParagraph"/>
              <w:numPr>
                <w:ilvl w:val="0"/>
                <w:numId w:val="8"/>
              </w:numPr>
              <w:tabs>
                <w:tab w:val="left" w:pos="227"/>
              </w:tabs>
              <w:spacing w:before="0" w:after="0" w:line="240" w:lineRule="auto"/>
              <w:ind w:left="187" w:hanging="142"/>
              <w:jc w:val="both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</w:rPr>
              <w:t xml:space="preserve">Naznačavanje izvještavanja u kunama umjesto u eurima u Prilozima </w:t>
            </w:r>
            <w:r w:rsidR="00672533" w:rsidRPr="00441E95">
              <w:rPr>
                <w:rFonts w:ascii="Times New Roman" w:hAnsi="Times New Roman"/>
                <w:noProof w:val="0"/>
                <w:sz w:val="24"/>
              </w:rPr>
              <w:t>0</w:t>
            </w:r>
            <w:r w:rsidRPr="00441E95">
              <w:rPr>
                <w:rFonts w:ascii="Times New Roman" w:hAnsi="Times New Roman"/>
                <w:noProof w:val="0"/>
                <w:sz w:val="24"/>
              </w:rPr>
              <w:t xml:space="preserve">3 i </w:t>
            </w:r>
            <w:r w:rsidR="00672533" w:rsidRPr="00441E95">
              <w:rPr>
                <w:rFonts w:ascii="Times New Roman" w:hAnsi="Times New Roman"/>
                <w:noProof w:val="0"/>
                <w:sz w:val="24"/>
              </w:rPr>
              <w:t>0</w:t>
            </w:r>
            <w:r w:rsidRPr="00441E95">
              <w:rPr>
                <w:rFonts w:ascii="Times New Roman" w:hAnsi="Times New Roman"/>
                <w:noProof w:val="0"/>
                <w:sz w:val="24"/>
              </w:rPr>
              <w:t xml:space="preserve">4 Obrascima za </w:t>
            </w:r>
            <w:r w:rsidR="00672533" w:rsidRPr="00441E95">
              <w:rPr>
                <w:rFonts w:ascii="Times New Roman" w:hAnsi="Times New Roman"/>
                <w:noProof w:val="0"/>
                <w:sz w:val="24"/>
              </w:rPr>
              <w:t xml:space="preserve">mjesečno i tromjesečno </w:t>
            </w:r>
            <w:r w:rsidRPr="00441E95">
              <w:rPr>
                <w:rFonts w:ascii="Times New Roman" w:hAnsi="Times New Roman"/>
                <w:noProof w:val="0"/>
                <w:sz w:val="24"/>
              </w:rPr>
              <w:t>izvještavanje</w:t>
            </w:r>
          </w:p>
          <w:p w14:paraId="07AB45FF" w14:textId="778AC083" w:rsidR="007463EE" w:rsidRPr="00441E95" w:rsidRDefault="007463EE" w:rsidP="00EA6306">
            <w:pPr>
              <w:pStyle w:val="ListParagraph"/>
              <w:numPr>
                <w:ilvl w:val="0"/>
                <w:numId w:val="8"/>
              </w:numPr>
              <w:tabs>
                <w:tab w:val="left" w:pos="227"/>
              </w:tabs>
              <w:spacing w:before="0" w:after="0" w:line="240" w:lineRule="auto"/>
              <w:ind w:left="187" w:hanging="142"/>
              <w:jc w:val="both"/>
              <w:rPr>
                <w:rFonts w:ascii="Times New Roman" w:hAnsi="Times New Roman"/>
                <w:noProof w:val="0"/>
                <w:sz w:val="24"/>
                <w:szCs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</w:rPr>
              <w:t>Izmjena definicije prihvatljivih troškova u tablici u Prilogu 0</w:t>
            </w:r>
            <w:r w:rsidR="00941EE4">
              <w:rPr>
                <w:rFonts w:ascii="Times New Roman" w:hAnsi="Times New Roman"/>
                <w:noProof w:val="0"/>
                <w:sz w:val="24"/>
                <w:szCs w:val="24"/>
              </w:rPr>
              <w:t>5</w:t>
            </w:r>
            <w:r w:rsidR="00672533" w:rsidRPr="00441E95">
              <w:rPr>
                <w:rFonts w:ascii="Times New Roman" w:hAnsi="Times New Roman"/>
                <w:noProof w:val="0"/>
                <w:sz w:val="24"/>
                <w:szCs w:val="24"/>
              </w:rPr>
              <w:t xml:space="preserve"> </w:t>
            </w:r>
            <w:r w:rsidR="00294C1C" w:rsidRPr="00441E95">
              <w:rPr>
                <w:rFonts w:ascii="Times New Roman" w:hAnsi="Times New Roman"/>
                <w:noProof w:val="0"/>
                <w:sz w:val="24"/>
                <w:szCs w:val="24"/>
              </w:rPr>
              <w:t xml:space="preserve">Zahtjev </w:t>
            </w:r>
            <w:r w:rsidR="00672533" w:rsidRPr="00441E95">
              <w:rPr>
                <w:rFonts w:ascii="Times New Roman" w:hAnsi="Times New Roman"/>
                <w:noProof w:val="0"/>
                <w:sz w:val="24"/>
                <w:szCs w:val="24"/>
              </w:rPr>
              <w:t>za plaćanje</w:t>
            </w:r>
          </w:p>
        </w:tc>
        <w:tc>
          <w:tcPr>
            <w:tcW w:w="883" w:type="pct"/>
            <w:shd w:val="clear" w:color="auto" w:fill="auto"/>
            <w:vAlign w:val="center"/>
          </w:tcPr>
          <w:p w14:paraId="50A9048D" w14:textId="77777777" w:rsidR="003D1F19" w:rsidRPr="00441E95" w:rsidRDefault="0050390E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Nomotehnička prilagodba</w:t>
            </w:r>
          </w:p>
        </w:tc>
      </w:tr>
      <w:tr w:rsidR="000F6B9B" w:rsidRPr="00441E95" w14:paraId="4922AD77" w14:textId="77777777" w:rsidTr="00344050">
        <w:tc>
          <w:tcPr>
            <w:tcW w:w="480" w:type="pct"/>
            <w:shd w:val="clear" w:color="auto" w:fill="auto"/>
            <w:vAlign w:val="center"/>
          </w:tcPr>
          <w:p w14:paraId="1E313DDF" w14:textId="77777777" w:rsidR="000F6B9B" w:rsidRPr="00441E95" w:rsidRDefault="007B06A7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lang w:val="hr-HR"/>
              </w:rPr>
              <w:lastRenderedPageBreak/>
              <w:t>3.1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621F44CA" w14:textId="77777777" w:rsidR="000F6B9B" w:rsidRPr="00441E95" w:rsidRDefault="000F6B9B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 w:rsidRPr="00441E95"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Studeni 2017.</w:t>
            </w:r>
          </w:p>
        </w:tc>
        <w:tc>
          <w:tcPr>
            <w:tcW w:w="2921" w:type="pct"/>
            <w:shd w:val="clear" w:color="auto" w:fill="auto"/>
            <w:vAlign w:val="center"/>
          </w:tcPr>
          <w:p w14:paraId="649EDCBC" w14:textId="77777777" w:rsidR="000F6B9B" w:rsidRPr="00441E95" w:rsidRDefault="003C0654" w:rsidP="001A2AFF">
            <w:pPr>
              <w:tabs>
                <w:tab w:val="clear" w:pos="2160"/>
                <w:tab w:val="left" w:pos="227"/>
              </w:tabs>
              <w:spacing w:before="0"/>
              <w:ind w:left="35" w:firstLine="0"/>
              <w:rPr>
                <w:rFonts w:ascii="Times New Roman" w:hAnsi="Times New Roman"/>
                <w:noProof w:val="0"/>
                <w:sz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</w:rPr>
              <w:t>Dodana referenca na sustav eFondovi – gdje primjenjivo</w:t>
            </w:r>
            <w:r w:rsidR="002A7BC1" w:rsidRPr="00441E95">
              <w:rPr>
                <w:rFonts w:ascii="Times New Roman" w:hAnsi="Times New Roman"/>
                <w:noProof w:val="0"/>
                <w:sz w:val="24"/>
              </w:rPr>
              <w:t xml:space="preserve">. </w:t>
            </w:r>
          </w:p>
          <w:p w14:paraId="3D8712F4" w14:textId="77777777" w:rsidR="002A7BC1" w:rsidRPr="00441E95" w:rsidRDefault="002A7BC1" w:rsidP="001A2AFF">
            <w:pPr>
              <w:tabs>
                <w:tab w:val="clear" w:pos="2160"/>
                <w:tab w:val="left" w:pos="227"/>
              </w:tabs>
              <w:spacing w:before="0"/>
              <w:ind w:left="35" w:firstLine="0"/>
              <w:rPr>
                <w:rFonts w:ascii="Times New Roman" w:hAnsi="Times New Roman"/>
                <w:noProof w:val="0"/>
                <w:sz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</w:rPr>
              <w:t>Prilog 2 – dopuna vezana za sustav eFondovi.</w:t>
            </w:r>
          </w:p>
        </w:tc>
        <w:tc>
          <w:tcPr>
            <w:tcW w:w="883" w:type="pct"/>
            <w:shd w:val="clear" w:color="auto" w:fill="auto"/>
            <w:vAlign w:val="center"/>
          </w:tcPr>
          <w:p w14:paraId="01EF01BF" w14:textId="77777777" w:rsidR="000F6B9B" w:rsidRPr="00441E95" w:rsidRDefault="000F6B9B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C21FE2" w:rsidRPr="00441E95" w14:paraId="1890E1D9" w14:textId="77777777" w:rsidTr="00344050">
        <w:tc>
          <w:tcPr>
            <w:tcW w:w="480" w:type="pct"/>
            <w:shd w:val="clear" w:color="auto" w:fill="auto"/>
            <w:vAlign w:val="center"/>
          </w:tcPr>
          <w:p w14:paraId="52658719" w14:textId="77777777" w:rsidR="00C21FE2" w:rsidRPr="00441E95" w:rsidRDefault="00C21FE2" w:rsidP="001A2AFF">
            <w:pPr>
              <w:tabs>
                <w:tab w:val="clear" w:pos="2160"/>
                <w:tab w:val="left" w:pos="227"/>
              </w:tabs>
              <w:spacing w:before="0"/>
              <w:ind w:left="35" w:firstLine="0"/>
              <w:rPr>
                <w:rFonts w:ascii="Times New Roman" w:hAnsi="Times New Roman"/>
                <w:noProof w:val="0"/>
                <w:sz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</w:rPr>
              <w:t>4.0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1BFCA4E6" w14:textId="77777777" w:rsidR="00C21FE2" w:rsidRPr="00441E95" w:rsidRDefault="007A3A77" w:rsidP="001A2AFF">
            <w:pPr>
              <w:tabs>
                <w:tab w:val="clear" w:pos="2160"/>
                <w:tab w:val="left" w:pos="227"/>
              </w:tabs>
              <w:spacing w:before="0"/>
              <w:ind w:left="35" w:firstLine="0"/>
              <w:rPr>
                <w:rFonts w:ascii="Times New Roman" w:hAnsi="Times New Roman"/>
                <w:noProof w:val="0"/>
                <w:sz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</w:rPr>
              <w:t xml:space="preserve">Svibanj </w:t>
            </w:r>
            <w:r w:rsidR="00C21FE2" w:rsidRPr="00441E95">
              <w:rPr>
                <w:rFonts w:ascii="Times New Roman" w:hAnsi="Times New Roman"/>
                <w:noProof w:val="0"/>
                <w:sz w:val="24"/>
              </w:rPr>
              <w:t>2018.</w:t>
            </w:r>
          </w:p>
        </w:tc>
        <w:tc>
          <w:tcPr>
            <w:tcW w:w="2921" w:type="pct"/>
            <w:shd w:val="clear" w:color="auto" w:fill="auto"/>
            <w:vAlign w:val="center"/>
          </w:tcPr>
          <w:p w14:paraId="464EC4BA" w14:textId="77777777" w:rsidR="00C21FE2" w:rsidRPr="00441E95" w:rsidRDefault="00E3439E" w:rsidP="001A2AFF">
            <w:pPr>
              <w:tabs>
                <w:tab w:val="clear" w:pos="2160"/>
                <w:tab w:val="left" w:pos="227"/>
              </w:tabs>
              <w:spacing w:before="0"/>
              <w:ind w:left="35" w:firstLine="0"/>
              <w:rPr>
                <w:rFonts w:ascii="Times New Roman" w:hAnsi="Times New Roman"/>
                <w:noProof w:val="0"/>
                <w:sz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</w:rPr>
              <w:t>Ažuriranje i prilagodba teksta u točkama 1., 2., 3., 7.1., 7.2., 7.3., 7.4, 7.5, 7.6, 7.7., 7.8., 7.9, 7.10, 7.11., 8</w:t>
            </w:r>
          </w:p>
        </w:tc>
        <w:tc>
          <w:tcPr>
            <w:tcW w:w="883" w:type="pct"/>
            <w:shd w:val="clear" w:color="auto" w:fill="auto"/>
            <w:vAlign w:val="center"/>
          </w:tcPr>
          <w:p w14:paraId="56DDDDC0" w14:textId="77777777" w:rsidR="00C21FE2" w:rsidRPr="00441E95" w:rsidRDefault="00C21FE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CF6806" w:rsidRPr="00441E95" w14:paraId="0000A739" w14:textId="77777777" w:rsidTr="00344050">
        <w:tc>
          <w:tcPr>
            <w:tcW w:w="480" w:type="pct"/>
            <w:shd w:val="clear" w:color="auto" w:fill="auto"/>
            <w:vAlign w:val="center"/>
          </w:tcPr>
          <w:p w14:paraId="0935062C" w14:textId="70CDDFF1" w:rsidR="00CF6806" w:rsidRPr="00441E95" w:rsidRDefault="008B0356" w:rsidP="001A2AFF">
            <w:pPr>
              <w:tabs>
                <w:tab w:val="clear" w:pos="2160"/>
                <w:tab w:val="left" w:pos="227"/>
              </w:tabs>
              <w:spacing w:before="0"/>
              <w:ind w:left="35" w:firstLine="0"/>
              <w:rPr>
                <w:rFonts w:ascii="Times New Roman" w:hAnsi="Times New Roman"/>
                <w:noProof w:val="0"/>
                <w:sz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</w:rPr>
              <w:t>5.0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523A6C46" w14:textId="2C95258A" w:rsidR="00CF6806" w:rsidRPr="00441E95" w:rsidRDefault="00EE3D14" w:rsidP="001A2AFF">
            <w:pPr>
              <w:tabs>
                <w:tab w:val="clear" w:pos="2160"/>
                <w:tab w:val="left" w:pos="227"/>
              </w:tabs>
              <w:spacing w:before="0"/>
              <w:ind w:left="35" w:firstLine="0"/>
              <w:rPr>
                <w:rFonts w:ascii="Times New Roman" w:hAnsi="Times New Roman"/>
                <w:noProof w:val="0"/>
                <w:sz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</w:rPr>
              <w:t>Ožujak</w:t>
            </w:r>
            <w:r w:rsidR="008B0356" w:rsidRPr="00441E95">
              <w:rPr>
                <w:rFonts w:ascii="Times New Roman" w:hAnsi="Times New Roman"/>
                <w:noProof w:val="0"/>
                <w:sz w:val="24"/>
              </w:rPr>
              <w:t xml:space="preserve"> 2019.</w:t>
            </w:r>
          </w:p>
        </w:tc>
        <w:tc>
          <w:tcPr>
            <w:tcW w:w="2921" w:type="pct"/>
            <w:shd w:val="clear" w:color="auto" w:fill="auto"/>
            <w:vAlign w:val="center"/>
          </w:tcPr>
          <w:p w14:paraId="73272C23" w14:textId="77777777" w:rsidR="00CF6806" w:rsidRPr="00441E95" w:rsidRDefault="00CF6806" w:rsidP="002400EE">
            <w:pPr>
              <w:tabs>
                <w:tab w:val="clear" w:pos="2160"/>
                <w:tab w:val="left" w:pos="227"/>
              </w:tabs>
              <w:spacing w:before="0"/>
              <w:ind w:left="35" w:firstLine="0"/>
              <w:rPr>
                <w:rFonts w:ascii="Times New Roman" w:hAnsi="Times New Roman"/>
                <w:noProof w:val="0"/>
                <w:sz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</w:rPr>
              <w:t>Ažuriranje</w:t>
            </w:r>
            <w:r w:rsidR="002400EE" w:rsidRPr="00441E95">
              <w:rPr>
                <w:rFonts w:ascii="Times New Roman" w:hAnsi="Times New Roman"/>
                <w:noProof w:val="0"/>
                <w:sz w:val="24"/>
              </w:rPr>
              <w:t xml:space="preserve"> sukladno </w:t>
            </w:r>
            <w:r w:rsidR="002400EE" w:rsidRPr="00441E95">
              <w:rPr>
                <w:rFonts w:ascii="Times New Roman" w:eastAsia="Tahoma" w:hAnsi="Times New Roman"/>
                <w:noProof w:val="0"/>
                <w:sz w:val="24"/>
              </w:rPr>
              <w:t>Uredbi (EU, Euratom) 2018/1046</w:t>
            </w:r>
            <w:r w:rsidR="00C32721" w:rsidRPr="00441E95">
              <w:rPr>
                <w:rFonts w:ascii="Times New Roman" w:eastAsia="Tahoma" w:hAnsi="Times New Roman"/>
                <w:noProof w:val="0"/>
                <w:sz w:val="24"/>
              </w:rPr>
              <w:t xml:space="preserve"> (izravna dodjela, posebnosti EIB/EIF)</w:t>
            </w:r>
            <w:r w:rsidRPr="00441E95">
              <w:rPr>
                <w:rFonts w:ascii="Times New Roman" w:hAnsi="Times New Roman"/>
                <w:noProof w:val="0"/>
                <w:sz w:val="24"/>
              </w:rPr>
              <w:t xml:space="preserve"> i prilagodba teksta u točkama 1., 2., 3., 7.7.</w:t>
            </w:r>
          </w:p>
          <w:p w14:paraId="26588C4D" w14:textId="7895A7EE" w:rsidR="000A3CFC" w:rsidRPr="00441E95" w:rsidRDefault="000A3CFC" w:rsidP="002400EE">
            <w:pPr>
              <w:tabs>
                <w:tab w:val="clear" w:pos="2160"/>
                <w:tab w:val="left" w:pos="227"/>
              </w:tabs>
              <w:spacing w:before="0"/>
              <w:ind w:left="35" w:firstLine="0"/>
              <w:rPr>
                <w:rFonts w:ascii="Times New Roman" w:hAnsi="Times New Roman"/>
                <w:noProof w:val="0"/>
                <w:sz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</w:rPr>
              <w:t xml:space="preserve">Prilog 3 - Obrazac za mjesečno izvještavanje (brisan </w:t>
            </w:r>
            <w:r w:rsidR="000E60EF" w:rsidRPr="00441E95">
              <w:rPr>
                <w:rFonts w:ascii="Times New Roman" w:hAnsi="Times New Roman"/>
                <w:noProof w:val="0"/>
                <w:sz w:val="24"/>
              </w:rPr>
              <w:t>list</w:t>
            </w:r>
            <w:r w:rsidRPr="00441E95">
              <w:rPr>
                <w:rFonts w:ascii="Times New Roman" w:hAnsi="Times New Roman"/>
                <w:noProof w:val="0"/>
                <w:sz w:val="24"/>
              </w:rPr>
              <w:t xml:space="preserve"> „šifrarnik“)</w:t>
            </w:r>
          </w:p>
        </w:tc>
        <w:tc>
          <w:tcPr>
            <w:tcW w:w="883" w:type="pct"/>
            <w:shd w:val="clear" w:color="auto" w:fill="auto"/>
            <w:vAlign w:val="center"/>
          </w:tcPr>
          <w:p w14:paraId="2E0B3BC4" w14:textId="77777777" w:rsidR="00CF6806" w:rsidRPr="00441E95" w:rsidRDefault="00CF6806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D32C02" w:rsidRPr="00441E95" w14:paraId="6DC6BD3E" w14:textId="77777777" w:rsidTr="00344050">
        <w:tc>
          <w:tcPr>
            <w:tcW w:w="480" w:type="pct"/>
            <w:shd w:val="clear" w:color="auto" w:fill="auto"/>
            <w:vAlign w:val="center"/>
          </w:tcPr>
          <w:p w14:paraId="4C629803" w14:textId="4E6F0D41" w:rsidR="00D32C02" w:rsidRPr="00441E95" w:rsidRDefault="00D32C02" w:rsidP="001A2AFF">
            <w:pPr>
              <w:tabs>
                <w:tab w:val="clear" w:pos="2160"/>
                <w:tab w:val="left" w:pos="227"/>
              </w:tabs>
              <w:spacing w:before="0"/>
              <w:ind w:left="35" w:firstLine="0"/>
              <w:rPr>
                <w:rFonts w:ascii="Times New Roman" w:hAnsi="Times New Roman"/>
                <w:noProof w:val="0"/>
                <w:sz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</w:rPr>
              <w:t>6.0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7D6E884C" w14:textId="396EC50E" w:rsidR="00D32C02" w:rsidRPr="00441E95" w:rsidRDefault="00FD3C33" w:rsidP="001A2AFF">
            <w:pPr>
              <w:tabs>
                <w:tab w:val="clear" w:pos="2160"/>
                <w:tab w:val="left" w:pos="227"/>
              </w:tabs>
              <w:spacing w:before="0"/>
              <w:ind w:left="35" w:firstLine="0"/>
              <w:rPr>
                <w:rFonts w:ascii="Times New Roman" w:hAnsi="Times New Roman"/>
                <w:noProof w:val="0"/>
                <w:sz w:val="24"/>
              </w:rPr>
            </w:pPr>
            <w:r>
              <w:rPr>
                <w:rFonts w:ascii="Times New Roman" w:hAnsi="Times New Roman"/>
                <w:noProof w:val="0"/>
                <w:sz w:val="24"/>
              </w:rPr>
              <w:t>Svibanj</w:t>
            </w:r>
            <w:r w:rsidR="00D32C02" w:rsidRPr="00441E95">
              <w:rPr>
                <w:rFonts w:ascii="Times New Roman" w:hAnsi="Times New Roman"/>
                <w:noProof w:val="0"/>
                <w:sz w:val="24"/>
              </w:rPr>
              <w:t xml:space="preserve"> 2020.</w:t>
            </w:r>
          </w:p>
        </w:tc>
        <w:tc>
          <w:tcPr>
            <w:tcW w:w="2921" w:type="pct"/>
            <w:shd w:val="clear" w:color="auto" w:fill="auto"/>
            <w:vAlign w:val="center"/>
          </w:tcPr>
          <w:p w14:paraId="0099BBB8" w14:textId="77777777" w:rsidR="00D32C02" w:rsidRDefault="00D32C02" w:rsidP="00EA6306">
            <w:pPr>
              <w:pStyle w:val="ListParagraph"/>
              <w:numPr>
                <w:ilvl w:val="0"/>
                <w:numId w:val="19"/>
              </w:numPr>
              <w:tabs>
                <w:tab w:val="left" w:pos="227"/>
              </w:tabs>
              <w:spacing w:before="0"/>
              <w:ind w:left="316"/>
              <w:rPr>
                <w:rFonts w:ascii="Times New Roman" w:hAnsi="Times New Roman"/>
                <w:noProof w:val="0"/>
                <w:sz w:val="24"/>
              </w:rPr>
            </w:pPr>
            <w:r w:rsidRPr="00441E95">
              <w:rPr>
                <w:rFonts w:ascii="Times New Roman" w:hAnsi="Times New Roman"/>
                <w:noProof w:val="0"/>
                <w:sz w:val="24"/>
              </w:rPr>
              <w:t>Nomotehnički ispravci</w:t>
            </w:r>
          </w:p>
          <w:p w14:paraId="630221DE" w14:textId="77777777" w:rsidR="00AF426F" w:rsidRDefault="00AF426F" w:rsidP="00EA6306">
            <w:pPr>
              <w:pStyle w:val="ListParagraph"/>
              <w:numPr>
                <w:ilvl w:val="0"/>
                <w:numId w:val="19"/>
              </w:numPr>
              <w:tabs>
                <w:tab w:val="left" w:pos="227"/>
              </w:tabs>
              <w:spacing w:before="0"/>
              <w:ind w:left="316"/>
              <w:rPr>
                <w:rFonts w:ascii="Times New Roman" w:hAnsi="Times New Roman"/>
                <w:noProof w:val="0"/>
                <w:sz w:val="24"/>
              </w:rPr>
            </w:pPr>
            <w:r>
              <w:rPr>
                <w:rFonts w:ascii="Times New Roman" w:hAnsi="Times New Roman"/>
                <w:noProof w:val="0"/>
                <w:sz w:val="24"/>
              </w:rPr>
              <w:t>Prilog 2 – promijenjen u „Obvezni sadržaj sporazuma o financiranju“</w:t>
            </w:r>
          </w:p>
          <w:p w14:paraId="146FCA51" w14:textId="69DCC4EB" w:rsidR="00BF64C2" w:rsidRPr="00441E95" w:rsidRDefault="00BF64C2" w:rsidP="00EA6306">
            <w:pPr>
              <w:pStyle w:val="ListParagraph"/>
              <w:numPr>
                <w:ilvl w:val="0"/>
                <w:numId w:val="19"/>
              </w:numPr>
              <w:tabs>
                <w:tab w:val="left" w:pos="227"/>
              </w:tabs>
              <w:spacing w:before="0"/>
              <w:ind w:left="316"/>
              <w:rPr>
                <w:rFonts w:ascii="Times New Roman" w:hAnsi="Times New Roman"/>
                <w:noProof w:val="0"/>
                <w:sz w:val="24"/>
              </w:rPr>
            </w:pPr>
            <w:r>
              <w:rPr>
                <w:rFonts w:ascii="Times New Roman" w:hAnsi="Times New Roman"/>
                <w:noProof w:val="0"/>
                <w:sz w:val="24"/>
              </w:rPr>
              <w:t>Brisan prilog 5- Obrazac za prijavu nepravilnosti</w:t>
            </w:r>
          </w:p>
        </w:tc>
        <w:tc>
          <w:tcPr>
            <w:tcW w:w="883" w:type="pct"/>
            <w:shd w:val="clear" w:color="auto" w:fill="auto"/>
            <w:vAlign w:val="center"/>
          </w:tcPr>
          <w:p w14:paraId="1FB13EE6" w14:textId="77777777" w:rsidR="00D32C02" w:rsidRPr="00441E95" w:rsidRDefault="00D32C02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</w:p>
        </w:tc>
      </w:tr>
      <w:tr w:rsidR="00A21960" w:rsidRPr="00441E95" w14:paraId="0020A738" w14:textId="77777777" w:rsidTr="00344050">
        <w:tc>
          <w:tcPr>
            <w:tcW w:w="480" w:type="pct"/>
            <w:shd w:val="clear" w:color="auto" w:fill="auto"/>
            <w:vAlign w:val="center"/>
          </w:tcPr>
          <w:p w14:paraId="13F3A41A" w14:textId="0A7CA6B4" w:rsidR="00A21960" w:rsidRPr="00441E95" w:rsidRDefault="00A21960" w:rsidP="001A2AFF">
            <w:pPr>
              <w:tabs>
                <w:tab w:val="clear" w:pos="2160"/>
                <w:tab w:val="left" w:pos="227"/>
              </w:tabs>
              <w:spacing w:before="0"/>
              <w:ind w:left="35" w:firstLine="0"/>
              <w:rPr>
                <w:rFonts w:ascii="Times New Roman" w:hAnsi="Times New Roman"/>
                <w:noProof w:val="0"/>
                <w:sz w:val="24"/>
              </w:rPr>
            </w:pPr>
            <w:r>
              <w:rPr>
                <w:rFonts w:ascii="Times New Roman" w:hAnsi="Times New Roman"/>
                <w:noProof w:val="0"/>
                <w:sz w:val="24"/>
              </w:rPr>
              <w:t>7.0</w:t>
            </w:r>
          </w:p>
        </w:tc>
        <w:tc>
          <w:tcPr>
            <w:tcW w:w="715" w:type="pct"/>
            <w:shd w:val="clear" w:color="auto" w:fill="auto"/>
            <w:vAlign w:val="center"/>
          </w:tcPr>
          <w:p w14:paraId="04EB42BB" w14:textId="5252B9A8" w:rsidR="00A21960" w:rsidRDefault="00BB7D4B" w:rsidP="001A2AFF">
            <w:pPr>
              <w:tabs>
                <w:tab w:val="clear" w:pos="2160"/>
                <w:tab w:val="left" w:pos="227"/>
              </w:tabs>
              <w:spacing w:before="0"/>
              <w:ind w:left="35" w:firstLine="0"/>
              <w:rPr>
                <w:rFonts w:ascii="Times New Roman" w:hAnsi="Times New Roman"/>
                <w:noProof w:val="0"/>
                <w:sz w:val="24"/>
              </w:rPr>
            </w:pPr>
            <w:r>
              <w:rPr>
                <w:rFonts w:ascii="Times New Roman" w:hAnsi="Times New Roman"/>
                <w:noProof w:val="0"/>
                <w:sz w:val="24"/>
              </w:rPr>
              <w:t>Prosinac</w:t>
            </w:r>
            <w:r w:rsidR="00A21960">
              <w:rPr>
                <w:rFonts w:ascii="Times New Roman" w:hAnsi="Times New Roman"/>
                <w:noProof w:val="0"/>
                <w:sz w:val="24"/>
              </w:rPr>
              <w:t xml:space="preserve"> 2020.</w:t>
            </w:r>
          </w:p>
        </w:tc>
        <w:tc>
          <w:tcPr>
            <w:tcW w:w="2921" w:type="pct"/>
            <w:shd w:val="clear" w:color="auto" w:fill="auto"/>
            <w:vAlign w:val="center"/>
          </w:tcPr>
          <w:p w14:paraId="506BA5C6" w14:textId="156FA854" w:rsidR="00A21960" w:rsidRPr="00FF0AC0" w:rsidRDefault="00FF0AC0" w:rsidP="00FF0AC0">
            <w:pPr>
              <w:tabs>
                <w:tab w:val="clear" w:pos="2160"/>
                <w:tab w:val="left" w:pos="227"/>
              </w:tabs>
              <w:spacing w:before="0"/>
              <w:ind w:left="0" w:firstLine="0"/>
              <w:rPr>
                <w:rFonts w:ascii="Times New Roman" w:hAnsi="Times New Roman"/>
                <w:noProof w:val="0"/>
                <w:sz w:val="24"/>
              </w:rPr>
            </w:pPr>
            <w:r>
              <w:rPr>
                <w:rFonts w:ascii="Times New Roman" w:hAnsi="Times New Roman"/>
                <w:noProof w:val="0"/>
                <w:sz w:val="24"/>
              </w:rPr>
              <w:t>Nije bilo izmjena</w:t>
            </w:r>
          </w:p>
        </w:tc>
        <w:tc>
          <w:tcPr>
            <w:tcW w:w="883" w:type="pct"/>
            <w:shd w:val="clear" w:color="auto" w:fill="auto"/>
            <w:vAlign w:val="center"/>
          </w:tcPr>
          <w:p w14:paraId="4CC36C5A" w14:textId="77996911" w:rsidR="00A21960" w:rsidRPr="00441E95" w:rsidRDefault="00FF0AC0" w:rsidP="001A2AFF">
            <w:pPr>
              <w:pStyle w:val="Arial105ptbefore"/>
              <w:spacing w:before="0"/>
              <w:jc w:val="both"/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</w:pPr>
            <w:r>
              <w:rPr>
                <w:rFonts w:ascii="Times New Roman" w:hAnsi="Times New Roman"/>
                <w:noProof w:val="0"/>
                <w:sz w:val="24"/>
                <w:szCs w:val="24"/>
                <w:lang w:val="hr-HR"/>
              </w:rPr>
              <w:t>-</w:t>
            </w:r>
          </w:p>
        </w:tc>
      </w:tr>
    </w:tbl>
    <w:p w14:paraId="341BE117" w14:textId="268E4503" w:rsidR="00845377" w:rsidRDefault="00845377" w:rsidP="001A2AFF">
      <w:pPr>
        <w:pStyle w:val="Heading1"/>
        <w:spacing w:before="0"/>
        <w:jc w:val="both"/>
        <w:rPr>
          <w:rFonts w:ascii="Times New Roman" w:hAnsi="Times New Roman" w:cs="Times New Roman"/>
          <w:noProof w:val="0"/>
          <w:sz w:val="24"/>
          <w:szCs w:val="24"/>
        </w:rPr>
      </w:pPr>
    </w:p>
    <w:p w14:paraId="3AFA5550" w14:textId="77777777" w:rsidR="00A21960" w:rsidRPr="00A21960" w:rsidRDefault="00A21960" w:rsidP="00A21960"/>
    <w:sectPr w:rsidR="00A21960" w:rsidRPr="00A21960" w:rsidSect="0018787A">
      <w:pgSz w:w="11906" w:h="16838" w:code="9"/>
      <w:pgMar w:top="1134" w:right="991" w:bottom="1276" w:left="1440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D70138" w14:textId="77777777" w:rsidR="000E1F84" w:rsidRDefault="000E1F84">
      <w:r>
        <w:separator/>
      </w:r>
    </w:p>
  </w:endnote>
  <w:endnote w:type="continuationSeparator" w:id="0">
    <w:p w14:paraId="582D5003" w14:textId="77777777" w:rsidR="000E1F84" w:rsidRDefault="000E1F84">
      <w:r>
        <w:continuationSeparator/>
      </w:r>
    </w:p>
  </w:endnote>
  <w:endnote w:type="continuationNotice" w:id="1">
    <w:p w14:paraId="4B01A4D4" w14:textId="77777777" w:rsidR="000E1F84" w:rsidRDefault="000E1F84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,Calibr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751E94" w14:textId="77777777" w:rsidR="00FF7B7B" w:rsidRPr="00777543" w:rsidRDefault="00FF7B7B" w:rsidP="00A46D76">
    <w:pPr>
      <w:pStyle w:val="Footer"/>
      <w:ind w:left="0" w:firstLine="0"/>
      <w:jc w:val="center"/>
      <w:rPr>
        <w:rFonts w:ascii="Times New Roman" w:hAnsi="Times New Roman"/>
        <w:sz w:val="18"/>
        <w:szCs w:val="18"/>
      </w:rPr>
    </w:pPr>
    <w:r w:rsidRPr="00777543">
      <w:rPr>
        <w:rFonts w:ascii="Times New Roman" w:hAnsi="Times New Roman"/>
        <w:sz w:val="18"/>
        <w:szCs w:val="18"/>
      </w:rPr>
      <w:t xml:space="preserve">Stranica </w:t>
    </w:r>
    <w:sdt>
      <w:sdtPr>
        <w:rPr>
          <w:rFonts w:ascii="Times New Roman" w:hAnsi="Times New Roman"/>
          <w:sz w:val="18"/>
          <w:szCs w:val="18"/>
        </w:rPr>
        <w:id w:val="-1749259285"/>
        <w:docPartObj>
          <w:docPartGallery w:val="Page Numbers (Bottom of Page)"/>
          <w:docPartUnique/>
        </w:docPartObj>
      </w:sdtPr>
      <w:sdtEndPr/>
      <w:sdtContent>
        <w:r w:rsidRPr="00777543">
          <w:rPr>
            <w:rFonts w:ascii="Times New Roman" w:hAnsi="Times New Roman"/>
            <w:sz w:val="18"/>
            <w:szCs w:val="18"/>
          </w:rPr>
          <w:fldChar w:fldCharType="begin"/>
        </w:r>
        <w:r w:rsidRPr="00777543">
          <w:rPr>
            <w:rFonts w:ascii="Times New Roman" w:hAnsi="Times New Roman"/>
            <w:sz w:val="18"/>
            <w:szCs w:val="18"/>
          </w:rPr>
          <w:instrText xml:space="preserve"> PAGE   \* MERGEFORMAT </w:instrText>
        </w:r>
        <w:r w:rsidRPr="00777543">
          <w:rPr>
            <w:rFonts w:ascii="Times New Roman" w:hAnsi="Times New Roman"/>
            <w:sz w:val="18"/>
            <w:szCs w:val="18"/>
          </w:rPr>
          <w:fldChar w:fldCharType="separate"/>
        </w:r>
        <w:r>
          <w:rPr>
            <w:rFonts w:ascii="Times New Roman" w:hAnsi="Times New Roman"/>
            <w:sz w:val="18"/>
            <w:szCs w:val="18"/>
          </w:rPr>
          <w:t>21</w:t>
        </w:r>
        <w:r w:rsidRPr="00777543">
          <w:rPr>
            <w:rFonts w:ascii="Times New Roman" w:hAnsi="Times New Roman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826F0" w14:textId="77777777" w:rsidR="00FF7B7B" w:rsidRPr="00DC7D62" w:rsidRDefault="00FF7B7B" w:rsidP="00DC7D62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10080"/>
      </w:tabs>
      <w:jc w:val="center"/>
      <w:rPr>
        <w:rFonts w:cs="Tahoma"/>
        <w:b/>
        <w:sz w:val="12"/>
        <w:szCs w:val="12"/>
      </w:rPr>
    </w:pPr>
    <w:r w:rsidRPr="7652B322">
      <w:rPr>
        <w:rFonts w:ascii="Tahoma" w:eastAsia="Tahoma" w:hAnsi="Tahoma" w:cs="Tahoma"/>
        <w:b/>
        <w:bCs/>
      </w:rPr>
      <w:t>Page</w:t>
    </w:r>
    <w:r w:rsidRPr="7652B322">
      <w:rPr>
        <w:rFonts w:ascii="Tahoma" w:eastAsia="Tahoma" w:hAnsi="Tahoma" w:cs="Tahoma"/>
      </w:rPr>
      <w:fldChar w:fldCharType="begin"/>
    </w:r>
    <w:r w:rsidRPr="00CC544C">
      <w:rPr>
        <w:rFonts w:cs="Tahoma"/>
        <w:szCs w:val="20"/>
      </w:rPr>
      <w:instrText xml:space="preserve"> PAGE </w:instrText>
    </w:r>
    <w:r w:rsidRPr="7652B322">
      <w:rPr>
        <w:rFonts w:cs="Tahoma"/>
        <w:szCs w:val="20"/>
      </w:rPr>
      <w:fldChar w:fldCharType="separate"/>
    </w:r>
    <w:r w:rsidRPr="7652B322">
      <w:rPr>
        <w:rFonts w:ascii="Tahoma" w:eastAsia="Tahoma" w:hAnsi="Tahoma" w:cs="Tahoma"/>
      </w:rPr>
      <w:t>17</w:t>
    </w:r>
    <w:r w:rsidRPr="7652B322">
      <w:rPr>
        <w:rFonts w:ascii="Tahoma" w:eastAsia="Tahoma" w:hAnsi="Tahoma" w:cs="Tahoma"/>
      </w:rPr>
      <w:fldChar w:fldCharType="end"/>
    </w:r>
    <w:r w:rsidRPr="7652B322">
      <w:rPr>
        <w:rFonts w:ascii="Tahoma" w:eastAsia="Tahoma" w:hAnsi="Tahoma" w:cs="Tahoma"/>
      </w:rPr>
      <w:t xml:space="preserve"> of </w:t>
    </w:r>
    <w:r w:rsidRPr="7652B322">
      <w:rPr>
        <w:rFonts w:ascii="Tahoma" w:eastAsia="Tahoma" w:hAnsi="Tahoma" w:cs="Tahoma"/>
      </w:rPr>
      <w:fldChar w:fldCharType="begin"/>
    </w:r>
    <w:r w:rsidRPr="00CC544C">
      <w:rPr>
        <w:rFonts w:cs="Tahoma"/>
        <w:szCs w:val="20"/>
      </w:rPr>
      <w:instrText xml:space="preserve"> NUMPAGES </w:instrText>
    </w:r>
    <w:r w:rsidRPr="7652B322">
      <w:rPr>
        <w:rFonts w:cs="Tahoma"/>
        <w:szCs w:val="20"/>
      </w:rPr>
      <w:fldChar w:fldCharType="separate"/>
    </w:r>
    <w:r>
      <w:rPr>
        <w:rFonts w:cs="Tahoma"/>
        <w:szCs w:val="20"/>
      </w:rPr>
      <w:t>32</w:t>
    </w:r>
    <w:r w:rsidRPr="7652B322">
      <w:rPr>
        <w:rFonts w:ascii="Tahoma" w:eastAsia="Tahoma" w:hAnsi="Tahoma" w:cs="Tahom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A38248" w14:textId="77777777" w:rsidR="000E1F84" w:rsidRDefault="000E1F84">
      <w:r>
        <w:separator/>
      </w:r>
    </w:p>
  </w:footnote>
  <w:footnote w:type="continuationSeparator" w:id="0">
    <w:p w14:paraId="585C3C8F" w14:textId="77777777" w:rsidR="000E1F84" w:rsidRDefault="000E1F84">
      <w:r>
        <w:continuationSeparator/>
      </w:r>
    </w:p>
  </w:footnote>
  <w:footnote w:type="continuationNotice" w:id="1">
    <w:p w14:paraId="4BCB87F1" w14:textId="77777777" w:rsidR="000E1F84" w:rsidRDefault="000E1F84">
      <w:pPr>
        <w:spacing w:before="0"/>
      </w:pPr>
    </w:p>
  </w:footnote>
  <w:footnote w:id="2">
    <w:p w14:paraId="5F5B553A" w14:textId="2828610C" w:rsidR="00FF7B7B" w:rsidRPr="00B16ACB" w:rsidRDefault="00FF7B7B" w:rsidP="003C2065">
      <w:pPr>
        <w:pStyle w:val="FootnoteText"/>
        <w:tabs>
          <w:tab w:val="clear" w:pos="2160"/>
          <w:tab w:val="num" w:pos="0"/>
          <w:tab w:val="left" w:pos="567"/>
          <w:tab w:val="left" w:pos="709"/>
          <w:tab w:val="left" w:pos="993"/>
        </w:tabs>
        <w:ind w:left="142" w:hanging="142"/>
        <w:jc w:val="both"/>
      </w:pPr>
      <w:r w:rsidRPr="00B16ACB">
        <w:rPr>
          <w:rStyle w:val="FootnoteReference"/>
          <w:rFonts w:eastAsia="Arial"/>
        </w:rPr>
        <w:footnoteRef/>
      </w:r>
      <w:r w:rsidRPr="00B16ACB">
        <w:rPr>
          <w:rFonts w:eastAsia="Arial"/>
        </w:rPr>
        <w:t xml:space="preserve"> Pojedini financijski posrednici ne izrađuju </w:t>
      </w:r>
      <w:r>
        <w:rPr>
          <w:rFonts w:eastAsia="Arial"/>
        </w:rPr>
        <w:t>priručnik o postupanju</w:t>
      </w:r>
      <w:r w:rsidRPr="00B16ACB">
        <w:rPr>
          <w:rFonts w:eastAsia="Arial"/>
        </w:rPr>
        <w:t xml:space="preserve"> (primjerice</w:t>
      </w:r>
      <w:r>
        <w:rPr>
          <w:rFonts w:eastAsia="Arial"/>
        </w:rPr>
        <w:t>, p</w:t>
      </w:r>
      <w:r w:rsidRPr="00C445BD">
        <w:rPr>
          <w:rFonts w:eastAsia="Arial"/>
        </w:rPr>
        <w:t>riručnik o postupanju</w:t>
      </w:r>
      <w:r>
        <w:rPr>
          <w:rFonts w:eastAsia="Arial"/>
        </w:rPr>
        <w:t xml:space="preserve"> ne izrađuju</w:t>
      </w:r>
      <w:r w:rsidRPr="00B16ACB">
        <w:rPr>
          <w:rFonts w:eastAsia="Arial"/>
        </w:rPr>
        <w:t xml:space="preserve"> komercijalne banke koje </w:t>
      </w:r>
      <w:r>
        <w:rPr>
          <w:rFonts w:eastAsia="Arial"/>
        </w:rPr>
        <w:t xml:space="preserve">su odabrane </w:t>
      </w:r>
      <w:r w:rsidRPr="003C2065">
        <w:rPr>
          <w:rFonts w:eastAsia="Arial"/>
        </w:rPr>
        <w:t xml:space="preserve">putem odgovarajućih postupaka u skladu s pravilima o javnoj nabavi </w:t>
      </w:r>
      <w:r>
        <w:rPr>
          <w:rFonts w:eastAsia="Arial"/>
        </w:rPr>
        <w:t>od strane</w:t>
      </w:r>
      <w:r w:rsidRPr="003C2065" w:rsidDel="00937874">
        <w:rPr>
          <w:rFonts w:eastAsia="Arial"/>
        </w:rPr>
        <w:t xml:space="preserve"> </w:t>
      </w:r>
      <w:r w:rsidRPr="00B16ACB">
        <w:rPr>
          <w:rFonts w:eastAsia="Arial"/>
        </w:rPr>
        <w:t>tijela koja provode financijske instrumente).</w:t>
      </w:r>
    </w:p>
  </w:footnote>
  <w:footnote w:id="3">
    <w:p w14:paraId="4DE1793F" w14:textId="301FC873" w:rsidR="00FF7B7B" w:rsidRPr="00B16ACB" w:rsidRDefault="00FF7B7B" w:rsidP="00D75DDD">
      <w:pPr>
        <w:pStyle w:val="FootnoteText"/>
        <w:spacing w:before="0"/>
        <w:ind w:left="142" w:hanging="142"/>
        <w:jc w:val="both"/>
      </w:pPr>
      <w:r w:rsidRPr="00B16ACB">
        <w:rPr>
          <w:rStyle w:val="FootnoteReference"/>
        </w:rPr>
        <w:footnoteRef/>
      </w:r>
      <w:r w:rsidRPr="00B16ACB">
        <w:t xml:space="preserve"> </w:t>
      </w:r>
      <w:hyperlink r:id="rId1" w:history="1">
        <w:r w:rsidRPr="00B16ACB">
          <w:rPr>
            <w:rStyle w:val="Hyperlink"/>
          </w:rPr>
          <w:t>http://eur-lex.europa.eu/legal-content/HR/TXT/HTML/?uri=CELEX:52016XC0729(01)&amp;from=EN</w:t>
        </w:r>
      </w:hyperlink>
    </w:p>
    <w:p w14:paraId="3C023812" w14:textId="77777777" w:rsidR="00FF7B7B" w:rsidRPr="00932D05" w:rsidRDefault="00FF7B7B" w:rsidP="00D75DDD">
      <w:pPr>
        <w:pStyle w:val="FootnoteText"/>
        <w:spacing w:before="0"/>
        <w:ind w:left="142" w:hanging="142"/>
        <w:jc w:val="both"/>
        <w:rPr>
          <w:sz w:val="16"/>
          <w:szCs w:val="16"/>
        </w:rPr>
      </w:pPr>
    </w:p>
  </w:footnote>
  <w:footnote w:id="4">
    <w:p w14:paraId="3F0AD223" w14:textId="78696CD4" w:rsidR="00FF7B7B" w:rsidRDefault="00FF7B7B" w:rsidP="003C2065">
      <w:pPr>
        <w:pStyle w:val="FootnoteText"/>
        <w:spacing w:before="0"/>
        <w:ind w:left="142" w:hanging="142"/>
        <w:jc w:val="both"/>
        <w:rPr>
          <w:rStyle w:val="Hyperlink"/>
        </w:rPr>
      </w:pPr>
      <w:r w:rsidRPr="005A579F">
        <w:rPr>
          <w:vertAlign w:val="superscript"/>
        </w:rPr>
        <w:footnoteRef/>
      </w:r>
      <w:hyperlink r:id="rId2" w:history="1">
        <w:r w:rsidRPr="00B47CEB">
          <w:rPr>
            <w:rStyle w:val="Hyperlink"/>
          </w:rPr>
          <w:t>http://ec.europa.eu/regional_policy/en/information/publications/guidelines/2015/guidance-for-member-states-on-article-37-2-cpr-ex-ante-assessment</w:t>
        </w:r>
      </w:hyperlink>
    </w:p>
    <w:p w14:paraId="5F5977D6" w14:textId="77777777" w:rsidR="00FF7B7B" w:rsidRPr="005A579F" w:rsidRDefault="00FF7B7B" w:rsidP="003C2065">
      <w:pPr>
        <w:pStyle w:val="FootnoteText"/>
        <w:spacing w:before="0"/>
        <w:ind w:left="142" w:hanging="142"/>
        <w:jc w:val="both"/>
        <w:rPr>
          <w:rStyle w:val="Hyperlink"/>
        </w:rPr>
      </w:pPr>
    </w:p>
  </w:footnote>
  <w:footnote w:id="5">
    <w:p w14:paraId="2549EC5B" w14:textId="5FC23F53" w:rsidR="00FF7B7B" w:rsidRPr="00B16ACB" w:rsidRDefault="00FF7B7B" w:rsidP="003C2065">
      <w:pPr>
        <w:pStyle w:val="FootnoteText"/>
        <w:tabs>
          <w:tab w:val="clear" w:pos="2160"/>
        </w:tabs>
        <w:spacing w:before="0"/>
        <w:ind w:left="0" w:firstLine="0"/>
        <w:jc w:val="both"/>
      </w:pPr>
      <w:r w:rsidRPr="00B16ACB">
        <w:rPr>
          <w:rStyle w:val="FootnoteReference"/>
        </w:rPr>
        <w:footnoteRef/>
      </w:r>
      <w:r w:rsidRPr="00B16ACB">
        <w:t xml:space="preserve"> </w:t>
      </w:r>
      <w:hyperlink r:id="rId3" w:history="1">
        <w:r w:rsidRPr="00B16ACB">
          <w:rPr>
            <w:rStyle w:val="Hyperlink"/>
          </w:rPr>
          <w:t>http://ec.europa.eu/regional_policy/sources/docgener/informat/2014/guidance_management_verifications_hr.pdf</w:t>
        </w:r>
      </w:hyperlink>
    </w:p>
    <w:p w14:paraId="344307BE" w14:textId="77777777" w:rsidR="00FF7B7B" w:rsidRPr="00B16ACB" w:rsidRDefault="00FF7B7B" w:rsidP="003C2065">
      <w:pPr>
        <w:pStyle w:val="FootnoteText"/>
        <w:tabs>
          <w:tab w:val="clear" w:pos="2160"/>
        </w:tabs>
        <w:spacing w:before="0"/>
        <w:ind w:left="0" w:firstLine="0"/>
        <w:jc w:val="both"/>
      </w:pPr>
    </w:p>
  </w:footnote>
  <w:footnote w:id="6">
    <w:p w14:paraId="1FFD233F" w14:textId="39B37C37" w:rsidR="00FF7B7B" w:rsidRPr="00B16ACB" w:rsidRDefault="00FF7B7B" w:rsidP="003C2065">
      <w:pPr>
        <w:pStyle w:val="FootnoteText"/>
        <w:tabs>
          <w:tab w:val="clear" w:pos="2160"/>
          <w:tab w:val="left" w:pos="142"/>
          <w:tab w:val="num" w:pos="1418"/>
        </w:tabs>
        <w:spacing w:before="0"/>
        <w:ind w:left="142" w:hanging="142"/>
        <w:jc w:val="both"/>
      </w:pPr>
      <w:r w:rsidRPr="00B16ACB">
        <w:rPr>
          <w:rStyle w:val="FootnoteReference"/>
        </w:rPr>
        <w:footnoteRef/>
      </w:r>
      <w:hyperlink r:id="rId4" w:history="1">
        <w:r w:rsidRPr="00B47CEB">
          <w:rPr>
            <w:rStyle w:val="Hyperlink"/>
          </w:rPr>
          <w:t>http://ec.europa.eu/regional_policy/en/information/publications/guidelines/2015/guidance-for-member-states-on-article-37-4-cpr-support-to-enterprises-working-capital</w:t>
        </w:r>
      </w:hyperlink>
    </w:p>
    <w:p w14:paraId="7E4E4E26" w14:textId="77777777" w:rsidR="00FF7B7B" w:rsidRPr="00B16ACB" w:rsidRDefault="00FF7B7B" w:rsidP="003C2065">
      <w:pPr>
        <w:pStyle w:val="FootnoteText"/>
        <w:tabs>
          <w:tab w:val="clear" w:pos="2160"/>
          <w:tab w:val="left" w:pos="142"/>
          <w:tab w:val="num" w:pos="1418"/>
        </w:tabs>
        <w:spacing w:before="0"/>
        <w:ind w:left="142" w:hanging="142"/>
        <w:jc w:val="both"/>
      </w:pPr>
    </w:p>
  </w:footnote>
  <w:footnote w:id="7">
    <w:p w14:paraId="4D3DE69A" w14:textId="6757FC48" w:rsidR="00FF7B7B" w:rsidRPr="00B16ACB" w:rsidRDefault="00FF7B7B" w:rsidP="003C2065">
      <w:pPr>
        <w:pStyle w:val="FootnoteText"/>
        <w:spacing w:before="0"/>
        <w:ind w:left="142" w:hanging="142"/>
        <w:jc w:val="both"/>
      </w:pPr>
      <w:r w:rsidRPr="00B16ACB">
        <w:rPr>
          <w:rStyle w:val="FootnoteReference"/>
        </w:rPr>
        <w:footnoteRef/>
      </w:r>
      <w:r w:rsidRPr="00B16ACB">
        <w:t xml:space="preserve"> </w:t>
      </w:r>
      <w:hyperlink r:id="rId5" w:history="1">
        <w:r w:rsidRPr="00B16ACB">
          <w:rPr>
            <w:rStyle w:val="Hyperlink"/>
          </w:rPr>
          <w:t>http://ec.europa.eu/regional_policy/sources/docgener/informat/2014/guidance_glossary.pdf</w:t>
        </w:r>
      </w:hyperlink>
    </w:p>
    <w:p w14:paraId="64CD3575" w14:textId="77777777" w:rsidR="00FF7B7B" w:rsidRPr="00B16ACB" w:rsidRDefault="00FF7B7B" w:rsidP="003C2065">
      <w:pPr>
        <w:pStyle w:val="FootnoteText"/>
        <w:spacing w:before="0"/>
        <w:ind w:left="142" w:hanging="142"/>
        <w:jc w:val="both"/>
      </w:pPr>
    </w:p>
  </w:footnote>
  <w:footnote w:id="8">
    <w:p w14:paraId="5AC47D0F" w14:textId="1B919A1F" w:rsidR="00FF7B7B" w:rsidRPr="00B16ACB" w:rsidRDefault="00FF7B7B" w:rsidP="003C2065">
      <w:pPr>
        <w:pStyle w:val="FootnoteText"/>
        <w:spacing w:before="0"/>
        <w:ind w:left="142" w:hanging="142"/>
        <w:jc w:val="both"/>
      </w:pPr>
      <w:r w:rsidRPr="00B16ACB">
        <w:rPr>
          <w:rStyle w:val="FootnoteReference"/>
        </w:rPr>
        <w:footnoteRef/>
      </w:r>
      <w:r w:rsidRPr="00B16ACB">
        <w:t xml:space="preserve"> </w:t>
      </w:r>
      <w:hyperlink r:id="rId6" w:history="1">
        <w:r w:rsidRPr="00B16ACB">
          <w:rPr>
            <w:rStyle w:val="Hyperlink"/>
          </w:rPr>
          <w:t>http://ec.europa.eu/regional_policy/sources/thefunds/fin_inst/pdf/fi_esif_2014_2020.pdf</w:t>
        </w:r>
      </w:hyperlink>
    </w:p>
    <w:p w14:paraId="1335CEA3" w14:textId="77777777" w:rsidR="00FF7B7B" w:rsidRPr="00B16ACB" w:rsidRDefault="00FF7B7B" w:rsidP="003C2065">
      <w:pPr>
        <w:pStyle w:val="FootnoteText"/>
        <w:spacing w:before="0"/>
        <w:ind w:left="142" w:hanging="142"/>
        <w:jc w:val="both"/>
      </w:pPr>
    </w:p>
  </w:footnote>
  <w:footnote w:id="9">
    <w:p w14:paraId="3EFE7D7E" w14:textId="7087BB63" w:rsidR="00FF7B7B" w:rsidRPr="00B16ACB" w:rsidRDefault="00FF7B7B" w:rsidP="003C2065">
      <w:pPr>
        <w:pStyle w:val="FootnoteText"/>
        <w:spacing w:before="0"/>
        <w:ind w:left="142" w:hanging="142"/>
        <w:jc w:val="both"/>
      </w:pPr>
      <w:r w:rsidRPr="00B16ACB">
        <w:rPr>
          <w:rStyle w:val="FootnoteReference"/>
        </w:rPr>
        <w:footnoteRef/>
      </w:r>
      <w:r w:rsidRPr="00B16ACB">
        <w:t xml:space="preserve"> </w:t>
      </w:r>
      <w:hyperlink r:id="rId7" w:history="1">
        <w:r w:rsidRPr="00B16ACB">
          <w:rPr>
            <w:rStyle w:val="Hyperlink"/>
          </w:rPr>
          <w:t>https://www.fi-compass.eu/sites/default/files/publications/manual_vol-I_ex-ante-assessment-general-metholology.pdf</w:t>
        </w:r>
      </w:hyperlink>
    </w:p>
    <w:p w14:paraId="0FEB6AEB" w14:textId="77777777" w:rsidR="00FF7B7B" w:rsidRPr="00B16ACB" w:rsidRDefault="00FF7B7B" w:rsidP="003C2065">
      <w:pPr>
        <w:pStyle w:val="FootnoteText"/>
        <w:spacing w:before="0"/>
        <w:ind w:left="142" w:hanging="142"/>
        <w:jc w:val="both"/>
      </w:pPr>
    </w:p>
  </w:footnote>
  <w:footnote w:id="10">
    <w:p w14:paraId="44212AD5" w14:textId="2BAA6374" w:rsidR="00FF7B7B" w:rsidRPr="00B16ACB" w:rsidRDefault="00FF7B7B" w:rsidP="003C2065">
      <w:pPr>
        <w:pStyle w:val="FootnoteText"/>
        <w:spacing w:before="0"/>
        <w:ind w:left="0" w:firstLine="0"/>
        <w:jc w:val="both"/>
      </w:pPr>
      <w:r w:rsidRPr="00B16ACB">
        <w:rPr>
          <w:rStyle w:val="FootnoteReference"/>
        </w:rPr>
        <w:footnoteRef/>
      </w:r>
      <w:r w:rsidRPr="00B16ACB">
        <w:t xml:space="preserve"> </w:t>
      </w:r>
      <w:hyperlink r:id="rId8" w:history="1">
        <w:r w:rsidRPr="00B16ACB">
          <w:rPr>
            <w:rStyle w:val="Hyperlink"/>
          </w:rPr>
          <w:t>http://ec.europa.eu/regional_policy/sources/docgener/informat/2014/guidance_ms_eligible_costs_fees.pdf</w:t>
        </w:r>
      </w:hyperlink>
    </w:p>
    <w:p w14:paraId="2630E6DC" w14:textId="77777777" w:rsidR="00FF7B7B" w:rsidRPr="00B16ACB" w:rsidRDefault="00FF7B7B" w:rsidP="003C2065">
      <w:pPr>
        <w:pStyle w:val="FootnoteText"/>
        <w:spacing w:before="0"/>
        <w:ind w:left="0" w:firstLine="0"/>
        <w:jc w:val="both"/>
      </w:pPr>
    </w:p>
  </w:footnote>
  <w:footnote w:id="11">
    <w:p w14:paraId="477501F9" w14:textId="0E7DAF7E" w:rsidR="00FF7B7B" w:rsidRPr="00B16ACB" w:rsidRDefault="00FF7B7B" w:rsidP="003C2065">
      <w:pPr>
        <w:pStyle w:val="FootnoteText"/>
        <w:spacing w:before="0"/>
        <w:ind w:left="142" w:hanging="142"/>
        <w:jc w:val="both"/>
      </w:pPr>
      <w:r w:rsidRPr="00B16ACB">
        <w:rPr>
          <w:rStyle w:val="FootnoteReference"/>
        </w:rPr>
        <w:footnoteRef/>
      </w:r>
      <w:r w:rsidRPr="00B16ACB">
        <w:t xml:space="preserve"> </w:t>
      </w:r>
      <w:hyperlink r:id="rId9" w:history="1">
        <w:r w:rsidRPr="00B16ACB">
          <w:rPr>
            <w:rStyle w:val="Hyperlink"/>
          </w:rPr>
          <w:t>http://ec.europa.eu/regional_policy/sources/thefunds/fin_inst/pdf/ex_ante_vol1.pdf</w:t>
        </w:r>
      </w:hyperlink>
    </w:p>
    <w:p w14:paraId="6352D2E8" w14:textId="77777777" w:rsidR="00FF7B7B" w:rsidRPr="00B16ACB" w:rsidRDefault="00FF7B7B" w:rsidP="003C2065">
      <w:pPr>
        <w:pStyle w:val="FootnoteText"/>
        <w:spacing w:before="0"/>
        <w:ind w:left="142" w:hanging="142"/>
        <w:jc w:val="both"/>
      </w:pPr>
    </w:p>
  </w:footnote>
  <w:footnote w:id="12">
    <w:p w14:paraId="6ED98A11" w14:textId="7608D0EA" w:rsidR="00FF7B7B" w:rsidRPr="00B16ACB" w:rsidRDefault="00FF7B7B" w:rsidP="003C2065">
      <w:pPr>
        <w:pStyle w:val="FootnoteText"/>
        <w:spacing w:before="0"/>
        <w:ind w:left="142" w:hanging="142"/>
        <w:jc w:val="both"/>
      </w:pPr>
      <w:r w:rsidRPr="00B16ACB">
        <w:rPr>
          <w:rStyle w:val="FootnoteReference"/>
        </w:rPr>
        <w:footnoteRef/>
      </w:r>
      <w:r w:rsidRPr="00B16ACB">
        <w:t xml:space="preserve"> </w:t>
      </w:r>
      <w:hyperlink r:id="rId10" w:history="1">
        <w:r w:rsidRPr="00B16ACB">
          <w:rPr>
            <w:rStyle w:val="Hyperlink"/>
          </w:rPr>
          <w:t>http://ec.europa.eu/regional_policy/sources/thefunds/fin_inst/pdf/ex_ante_vol2.pdf</w:t>
        </w:r>
      </w:hyperlink>
    </w:p>
    <w:p w14:paraId="6388DA29" w14:textId="77777777" w:rsidR="00FF7B7B" w:rsidRPr="00B16ACB" w:rsidRDefault="00FF7B7B" w:rsidP="003C2065">
      <w:pPr>
        <w:pStyle w:val="FootnoteText"/>
        <w:spacing w:before="0"/>
        <w:ind w:left="142" w:hanging="142"/>
        <w:jc w:val="both"/>
      </w:pPr>
    </w:p>
  </w:footnote>
  <w:footnote w:id="13">
    <w:p w14:paraId="2A929B7F" w14:textId="200F5AF0" w:rsidR="00FF7B7B" w:rsidRPr="00B16ACB" w:rsidRDefault="00FF7B7B" w:rsidP="00B718D3">
      <w:pPr>
        <w:pStyle w:val="FootnoteText"/>
        <w:spacing w:before="0"/>
        <w:ind w:left="142" w:hanging="142"/>
      </w:pPr>
      <w:r w:rsidRPr="00B16ACB">
        <w:rPr>
          <w:rStyle w:val="FootnoteReference"/>
        </w:rPr>
        <w:footnoteRef/>
      </w:r>
      <w:r w:rsidRPr="00B16ACB">
        <w:t xml:space="preserve"> </w:t>
      </w:r>
      <w:hyperlink r:id="rId11" w:history="1">
        <w:r w:rsidRPr="00B16ACB">
          <w:rPr>
            <w:rStyle w:val="Hyperlink"/>
          </w:rPr>
          <w:t>http://ec.europa.eu/regional_policy/sources/thefunds/fin_inst/pdf/ex_ante_vol3.pdf</w:t>
        </w:r>
      </w:hyperlink>
    </w:p>
    <w:p w14:paraId="785F1678" w14:textId="77777777" w:rsidR="00FF7B7B" w:rsidRPr="00B16ACB" w:rsidRDefault="00FF7B7B" w:rsidP="00B718D3">
      <w:pPr>
        <w:pStyle w:val="FootnoteText"/>
        <w:spacing w:before="0"/>
        <w:ind w:left="142" w:hanging="142"/>
      </w:pPr>
    </w:p>
  </w:footnote>
  <w:footnote w:id="14">
    <w:p w14:paraId="5EF9BB9F" w14:textId="5156B8C6" w:rsidR="00FF7B7B" w:rsidRPr="00B16ACB" w:rsidRDefault="00FF7B7B" w:rsidP="00B718D3">
      <w:pPr>
        <w:pStyle w:val="FootnoteText"/>
        <w:spacing w:before="0"/>
        <w:ind w:left="142" w:hanging="142"/>
      </w:pPr>
      <w:r w:rsidRPr="00B16ACB">
        <w:rPr>
          <w:rStyle w:val="FootnoteReference"/>
        </w:rPr>
        <w:footnoteRef/>
      </w:r>
      <w:r w:rsidRPr="00B16ACB">
        <w:t xml:space="preserve"> </w:t>
      </w:r>
      <w:hyperlink r:id="rId12" w:history="1">
        <w:r w:rsidRPr="00B16ACB">
          <w:rPr>
            <w:rStyle w:val="Hyperlink"/>
          </w:rPr>
          <w:t>https://www.fi-compass.eu/sites/default/files/publications/manual_vol-IV_ex-ante-assessment-support-low-carbon-economy.pdf</w:t>
        </w:r>
      </w:hyperlink>
    </w:p>
    <w:p w14:paraId="55643193" w14:textId="08206CC7" w:rsidR="00FF7B7B" w:rsidRPr="00B16ACB" w:rsidRDefault="00FF7B7B" w:rsidP="00B718D3">
      <w:pPr>
        <w:pStyle w:val="FootnoteText"/>
        <w:spacing w:before="0"/>
        <w:ind w:left="142" w:hanging="142"/>
      </w:pPr>
      <w:r w:rsidRPr="00B16ACB">
        <w:rPr>
          <w:rStyle w:val="apple-converted-space"/>
          <w:rFonts w:eastAsia="Arial"/>
          <w:color w:val="939597"/>
          <w:shd w:val="clear" w:color="auto" w:fill="FFFFFF"/>
        </w:rPr>
        <w:t> </w:t>
      </w:r>
      <w:r w:rsidRPr="00B16ACB">
        <w:t xml:space="preserve"> </w:t>
      </w:r>
    </w:p>
  </w:footnote>
  <w:footnote w:id="15">
    <w:p w14:paraId="7FCEB774" w14:textId="2F8A09ED" w:rsidR="00FF7B7B" w:rsidRPr="00B16ACB" w:rsidRDefault="00FF7B7B" w:rsidP="00B718D3">
      <w:pPr>
        <w:pStyle w:val="FootnoteText"/>
        <w:spacing w:before="0"/>
        <w:ind w:left="142" w:hanging="142"/>
      </w:pPr>
      <w:r w:rsidRPr="00B16ACB">
        <w:rPr>
          <w:rStyle w:val="FootnoteReference"/>
        </w:rPr>
        <w:footnoteRef/>
      </w:r>
      <w:r w:rsidRPr="00B16ACB">
        <w:t xml:space="preserve"> </w:t>
      </w:r>
      <w:hyperlink r:id="rId13" w:history="1">
        <w:r w:rsidRPr="00B16ACB">
          <w:rPr>
            <w:rStyle w:val="Hyperlink"/>
          </w:rPr>
          <w:t>https://www.fi-compass.eu/sites/default/files/publications/manual_vol-V_ex-ante-assessment-fi-urban-development.pdf</w:t>
        </w:r>
      </w:hyperlink>
    </w:p>
    <w:p w14:paraId="7340AC22" w14:textId="77777777" w:rsidR="00FF7B7B" w:rsidRPr="00B16ACB" w:rsidRDefault="00FF7B7B" w:rsidP="00B718D3">
      <w:pPr>
        <w:pStyle w:val="FootnoteText"/>
        <w:spacing w:before="0"/>
        <w:ind w:left="142" w:hanging="142"/>
      </w:pPr>
    </w:p>
  </w:footnote>
  <w:footnote w:id="16">
    <w:p w14:paraId="3860E24A" w14:textId="68592CED" w:rsidR="00FF7B7B" w:rsidRPr="00B16ACB" w:rsidRDefault="00FF7B7B" w:rsidP="00B718D3">
      <w:pPr>
        <w:pStyle w:val="FootnoteText"/>
        <w:spacing w:before="0"/>
        <w:ind w:left="142" w:hanging="142"/>
      </w:pPr>
      <w:r w:rsidRPr="00B16ACB">
        <w:rPr>
          <w:rStyle w:val="FootnoteReference"/>
        </w:rPr>
        <w:footnoteRef/>
      </w:r>
      <w:r w:rsidRPr="00B16ACB">
        <w:t xml:space="preserve"> </w:t>
      </w:r>
      <w:hyperlink r:id="rId14" w:history="1">
        <w:r w:rsidRPr="00B16ACB">
          <w:rPr>
            <w:rStyle w:val="Hyperlink"/>
          </w:rPr>
          <w:t>http://ec.europa.eu/regional_policy/sources/thefunds/fin_inst/pdf/ex_ante_training.pdf</w:t>
        </w:r>
      </w:hyperlink>
    </w:p>
    <w:p w14:paraId="185813BF" w14:textId="77777777" w:rsidR="00FF7B7B" w:rsidRPr="00B16ACB" w:rsidRDefault="00FF7B7B" w:rsidP="00B718D3">
      <w:pPr>
        <w:pStyle w:val="FootnoteText"/>
        <w:spacing w:before="0"/>
        <w:ind w:left="142" w:hanging="142"/>
      </w:pPr>
    </w:p>
  </w:footnote>
  <w:footnote w:id="17">
    <w:p w14:paraId="77D6022D" w14:textId="19B51E75" w:rsidR="00FF7B7B" w:rsidRPr="00B16ACB" w:rsidRDefault="00FF7B7B" w:rsidP="00B718D3">
      <w:pPr>
        <w:pStyle w:val="FootnoteText"/>
        <w:spacing w:before="0"/>
        <w:ind w:left="142" w:hanging="142"/>
      </w:pPr>
      <w:r w:rsidRPr="00B16ACB">
        <w:rPr>
          <w:rStyle w:val="FootnoteReference"/>
        </w:rPr>
        <w:footnoteRef/>
      </w:r>
      <w:r w:rsidRPr="00B16ACB">
        <w:t xml:space="preserve"> </w:t>
      </w:r>
      <w:hyperlink r:id="rId15" w:history="1">
        <w:r w:rsidRPr="00B16ACB">
          <w:rPr>
            <w:rStyle w:val="Hyperlink"/>
          </w:rPr>
          <w:t>http://ec.europa.eu/regional_policy/en/information/publications/guidelines/2015/guidance-for-member-states-on-article-41-cpr-requests-for-payment</w:t>
        </w:r>
      </w:hyperlink>
    </w:p>
    <w:p w14:paraId="45011077" w14:textId="77777777" w:rsidR="00FF7B7B" w:rsidRPr="00B16ACB" w:rsidRDefault="00FF7B7B" w:rsidP="00B718D3">
      <w:pPr>
        <w:pStyle w:val="FootnoteText"/>
        <w:spacing w:before="0"/>
        <w:ind w:left="142" w:hanging="142"/>
      </w:pPr>
    </w:p>
  </w:footnote>
  <w:footnote w:id="18">
    <w:p w14:paraId="681E7B9F" w14:textId="77777777" w:rsidR="00FF7B7B" w:rsidRDefault="00FF7B7B" w:rsidP="000725B5">
      <w:pPr>
        <w:pStyle w:val="FootnoteText"/>
        <w:ind w:left="142" w:hanging="142"/>
        <w:jc w:val="both"/>
      </w:pPr>
      <w:r w:rsidRPr="003B4F68">
        <w:rPr>
          <w:rStyle w:val="FootnoteReference"/>
          <w:rFonts w:eastAsia="Arial"/>
        </w:rPr>
        <w:footnoteRef/>
      </w:r>
      <w:r w:rsidRPr="003B4F68">
        <w:rPr>
          <w:rFonts w:eastAsia="Arial"/>
          <w:bCs/>
        </w:rPr>
        <w:t>ZNP</w:t>
      </w:r>
      <w:r>
        <w:rPr>
          <w:rFonts w:eastAsia="Arial"/>
          <w:bCs/>
        </w:rPr>
        <w:t xml:space="preserve"> br. 14</w:t>
      </w:r>
      <w:r w:rsidRPr="00D31E63">
        <w:rPr>
          <w:rFonts w:eastAsia="Arial"/>
          <w:bCs/>
        </w:rPr>
        <w:t xml:space="preserve"> opisuje postupke koji se odnose </w:t>
      </w:r>
      <w:r>
        <w:rPr>
          <w:rFonts w:eastAsia="Arial"/>
          <w:bCs/>
        </w:rPr>
        <w:t>na</w:t>
      </w:r>
      <w:r w:rsidRPr="00D31E63">
        <w:rPr>
          <w:rFonts w:eastAsia="Arial"/>
          <w:bCs/>
        </w:rPr>
        <w:t xml:space="preserve"> izravno povjerava</w:t>
      </w:r>
      <w:r>
        <w:rPr>
          <w:rFonts w:eastAsia="Arial"/>
          <w:bCs/>
        </w:rPr>
        <w:t xml:space="preserve">nje provedbenih zadataka drugim </w:t>
      </w:r>
      <w:r w:rsidRPr="00D31E63">
        <w:rPr>
          <w:rFonts w:eastAsia="Arial"/>
          <w:bCs/>
        </w:rPr>
        <w:t>tijelima/</w:t>
      </w:r>
      <w:r>
        <w:rPr>
          <w:rFonts w:eastAsia="Arial"/>
          <w:bCs/>
        </w:rPr>
        <w:t xml:space="preserve"> </w:t>
      </w:r>
      <w:r w:rsidRPr="00D31E63">
        <w:rPr>
          <w:rFonts w:eastAsia="Arial"/>
          <w:bCs/>
        </w:rPr>
        <w:t>institucijama.</w:t>
      </w:r>
    </w:p>
  </w:footnote>
  <w:footnote w:id="19">
    <w:p w14:paraId="74796597" w14:textId="77777777" w:rsidR="00FF7B7B" w:rsidRPr="00196629" w:rsidRDefault="00FF7B7B" w:rsidP="00196629">
      <w:pPr>
        <w:pStyle w:val="FootnoteText"/>
        <w:ind w:left="142" w:hanging="142"/>
        <w:jc w:val="both"/>
        <w:rPr>
          <w:rStyle w:val="FootnoteReference"/>
          <w:rFonts w:eastAsia="Arial"/>
          <w:vertAlign w:val="baseline"/>
        </w:rPr>
      </w:pPr>
      <w:r w:rsidRPr="00D225FF">
        <w:rPr>
          <w:rStyle w:val="FootnoteReference"/>
          <w:rFonts w:eastAsia="Arial"/>
        </w:rPr>
        <w:footnoteRef/>
      </w:r>
      <w:r w:rsidRPr="00D225FF">
        <w:rPr>
          <w:rStyle w:val="FootnoteReference"/>
          <w:rFonts w:eastAsia="Arial"/>
        </w:rPr>
        <w:t xml:space="preserve"> </w:t>
      </w:r>
      <w:r w:rsidRPr="00196629">
        <w:rPr>
          <w:rStyle w:val="FootnoteReference"/>
          <w:rFonts w:eastAsia="Arial"/>
          <w:vertAlign w:val="baseline"/>
        </w:rPr>
        <w:t>TPFI može imati ulogu FP (kod izravne provedbe – HAMAG-BICRO) ili FF (provedba putem FP – HBOR, EIF). Iz navedenog razloga, u tekstu se referira samo na TPFI.</w:t>
      </w:r>
    </w:p>
    <w:p w14:paraId="703B4218" w14:textId="77777777" w:rsidR="00FF7B7B" w:rsidRPr="00196629" w:rsidRDefault="00FF7B7B" w:rsidP="00196629">
      <w:pPr>
        <w:pStyle w:val="FootnoteText"/>
        <w:ind w:left="142" w:hanging="142"/>
        <w:jc w:val="both"/>
        <w:rPr>
          <w:rStyle w:val="FootnoteReference"/>
          <w:rFonts w:eastAsia="Arial"/>
        </w:rPr>
      </w:pPr>
    </w:p>
  </w:footnote>
  <w:footnote w:id="20">
    <w:p w14:paraId="2C6396D2" w14:textId="3D3796CB" w:rsidR="00FF7B7B" w:rsidRPr="00196629" w:rsidRDefault="00FF7B7B" w:rsidP="00196629">
      <w:pPr>
        <w:pStyle w:val="FootnoteText"/>
        <w:ind w:left="142" w:hanging="142"/>
        <w:jc w:val="both"/>
        <w:rPr>
          <w:rStyle w:val="FootnoteReference"/>
          <w:rFonts w:eastAsia="Arial"/>
          <w:vertAlign w:val="baseline"/>
        </w:rPr>
      </w:pPr>
      <w:r w:rsidRPr="00C71D41">
        <w:rPr>
          <w:rStyle w:val="FootnoteReference"/>
          <w:rFonts w:eastAsia="Arial"/>
        </w:rPr>
        <w:footnoteRef/>
      </w:r>
      <w:r w:rsidRPr="00196629">
        <w:rPr>
          <w:rStyle w:val="FootnoteReference"/>
          <w:rFonts w:eastAsia="Arial"/>
          <w:vertAlign w:val="baseline"/>
        </w:rPr>
        <w:t xml:space="preserve"> ZNP u pogledu opisa poslova USFI</w:t>
      </w:r>
      <w:r>
        <w:rPr>
          <w:rFonts w:eastAsia="Arial"/>
        </w:rPr>
        <w:t>-ja</w:t>
      </w:r>
      <w:r w:rsidRPr="00196629">
        <w:rPr>
          <w:rStyle w:val="FootnoteReference"/>
          <w:rFonts w:eastAsia="Arial"/>
          <w:vertAlign w:val="baseline"/>
        </w:rPr>
        <w:t xml:space="preserve"> upućuje na PoP UT-a, u kojem se pak navodi da su opisi poslova detaljnije razrađeni poslovnikom USFI</w:t>
      </w:r>
      <w:r>
        <w:rPr>
          <w:rStyle w:val="FootnoteReference"/>
          <w:rFonts w:eastAsia="Arial"/>
          <w:vertAlign w:val="baseline"/>
        </w:rPr>
        <w:t>-</w:t>
      </w:r>
      <w:r>
        <w:rPr>
          <w:rFonts w:eastAsia="Arial"/>
        </w:rPr>
        <w:t>ja</w:t>
      </w:r>
      <w:r w:rsidRPr="00196629">
        <w:rPr>
          <w:rStyle w:val="FootnoteReference"/>
          <w:rFonts w:eastAsia="Arial"/>
          <w:vertAlign w:val="baseline"/>
        </w:rPr>
        <w:t>. ZNP i PoP navode svrhu USFI</w:t>
      </w:r>
      <w:r>
        <w:rPr>
          <w:rFonts w:eastAsia="Arial"/>
        </w:rPr>
        <w:t>-ja</w:t>
      </w:r>
      <w:r w:rsidRPr="00196629">
        <w:rPr>
          <w:rStyle w:val="FootnoteReference"/>
          <w:rFonts w:eastAsia="Arial"/>
          <w:vertAlign w:val="baseline"/>
        </w:rPr>
        <w:t xml:space="preserve"> i obavezu osnivanja USFI</w:t>
      </w:r>
      <w:r>
        <w:rPr>
          <w:rFonts w:eastAsia="Arial"/>
        </w:rPr>
        <w:t>-ja</w:t>
      </w:r>
      <w:r w:rsidRPr="00196629">
        <w:rPr>
          <w:rStyle w:val="FootnoteReference"/>
          <w:rFonts w:eastAsia="Arial"/>
          <w:vertAlign w:val="baseline"/>
        </w:rPr>
        <w:t>, a način glas</w:t>
      </w:r>
      <w:r>
        <w:rPr>
          <w:rStyle w:val="FootnoteReference"/>
          <w:rFonts w:eastAsia="Arial"/>
          <w:vertAlign w:val="baseline"/>
        </w:rPr>
        <w:t>ov</w:t>
      </w:r>
      <w:r w:rsidRPr="00196629">
        <w:rPr>
          <w:rStyle w:val="FootnoteReference"/>
          <w:rFonts w:eastAsia="Arial"/>
          <w:vertAlign w:val="baseline"/>
        </w:rPr>
        <w:t xml:space="preserve">anja, sazivanje sjednica i vođenja zapisnika je opisan u predmetnom poslovniku. </w:t>
      </w:r>
    </w:p>
    <w:p w14:paraId="039DB2C3" w14:textId="77777777" w:rsidR="00FF7B7B" w:rsidRDefault="00FF7B7B" w:rsidP="000725B5">
      <w:pPr>
        <w:pStyle w:val="FootnoteText"/>
      </w:pPr>
    </w:p>
  </w:footnote>
  <w:footnote w:id="21">
    <w:p w14:paraId="53DF865B" w14:textId="77777777" w:rsidR="00FF7B7B" w:rsidRPr="00E254E5" w:rsidRDefault="00FF7B7B" w:rsidP="00E254E5">
      <w:pPr>
        <w:pStyle w:val="FootnoteText"/>
        <w:ind w:left="142" w:hanging="142"/>
        <w:jc w:val="both"/>
        <w:rPr>
          <w:rStyle w:val="FootnoteReference"/>
          <w:rFonts w:eastAsia="Arial"/>
          <w:vertAlign w:val="baseline"/>
        </w:rPr>
      </w:pPr>
      <w:r w:rsidRPr="0054745A">
        <w:rPr>
          <w:rStyle w:val="FootnoteReference"/>
          <w:rFonts w:eastAsia="Arial"/>
        </w:rPr>
        <w:footnoteRef/>
      </w:r>
      <w:r w:rsidRPr="0054745A">
        <w:rPr>
          <w:rStyle w:val="FootnoteReference"/>
          <w:rFonts w:eastAsia="Arial"/>
        </w:rPr>
        <w:t xml:space="preserve"> </w:t>
      </w:r>
      <w:r w:rsidRPr="00E254E5">
        <w:rPr>
          <w:rStyle w:val="FootnoteReference"/>
          <w:rFonts w:eastAsia="Arial"/>
          <w:vertAlign w:val="baseline"/>
        </w:rPr>
        <w:t>TPFI se navodi u smislu sveobuhvatnog naziva za FF i FP, kako je objašnjeno u fusnoti br. 2.</w:t>
      </w:r>
    </w:p>
  </w:footnote>
  <w:footnote w:id="22">
    <w:p w14:paraId="41322EA5" w14:textId="77777777" w:rsidR="00FF7B7B" w:rsidRPr="00E254E5" w:rsidRDefault="00FF7B7B" w:rsidP="00E254E5">
      <w:pPr>
        <w:pStyle w:val="FootnoteText"/>
        <w:ind w:left="142" w:hanging="142"/>
        <w:jc w:val="both"/>
        <w:rPr>
          <w:rStyle w:val="FootnoteReference"/>
          <w:rFonts w:eastAsia="Arial"/>
          <w:vertAlign w:val="baseline"/>
        </w:rPr>
      </w:pPr>
      <w:r w:rsidRPr="00574DE8">
        <w:rPr>
          <w:rStyle w:val="FootnoteReference"/>
          <w:rFonts w:eastAsia="Arial"/>
        </w:rPr>
        <w:footnoteRef/>
      </w:r>
      <w:r w:rsidRPr="00574DE8">
        <w:rPr>
          <w:rStyle w:val="FootnoteReference"/>
          <w:rFonts w:eastAsia="Arial"/>
        </w:rPr>
        <w:t xml:space="preserve"> </w:t>
      </w:r>
      <w:r w:rsidRPr="00E254E5">
        <w:rPr>
          <w:rStyle w:val="FootnoteReference"/>
          <w:rFonts w:eastAsia="Arial"/>
          <w:vertAlign w:val="baseline"/>
        </w:rPr>
        <w:t>FP izvještava TPFI samo kad TPFI obnaša ulogu FF. Jedino u tom slučaju postoji FP koji nije ujedno i TPFI.</w:t>
      </w:r>
    </w:p>
    <w:p w14:paraId="3D3444C3" w14:textId="77777777" w:rsidR="00FF7B7B" w:rsidRDefault="00FF7B7B" w:rsidP="000725B5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848BC3" w14:textId="77777777" w:rsidR="00FF7B7B" w:rsidRDefault="00FF7B7B">
    <w:pPr>
      <w:pStyle w:val="Header"/>
    </w:pPr>
  </w:p>
  <w:tbl>
    <w:tblPr>
      <w:tblW w:w="9607" w:type="dxa"/>
      <w:jc w:val="center"/>
      <w:tblLayout w:type="fixed"/>
      <w:tblLook w:val="01E0" w:firstRow="1" w:lastRow="1" w:firstColumn="1" w:lastColumn="1" w:noHBand="0" w:noVBand="0"/>
    </w:tblPr>
    <w:tblGrid>
      <w:gridCol w:w="2720"/>
      <w:gridCol w:w="2095"/>
      <w:gridCol w:w="2409"/>
      <w:gridCol w:w="2383"/>
    </w:tblGrid>
    <w:tr w:rsidR="00FF7B7B" w:rsidRPr="00F03D82" w14:paraId="5D17A17C" w14:textId="77777777" w:rsidTr="00F64452">
      <w:trPr>
        <w:trHeight w:val="369"/>
        <w:jc w:val="center"/>
      </w:trPr>
      <w:tc>
        <w:tcPr>
          <w:tcW w:w="2720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15F28159" w14:textId="77777777" w:rsidR="00FF7B7B" w:rsidRPr="00344050" w:rsidRDefault="00FF7B7B" w:rsidP="004A55CF">
          <w:pPr>
            <w:pStyle w:val="Arial105ptbefore"/>
            <w:spacing w:before="0"/>
            <w:jc w:val="center"/>
            <w:rPr>
              <w:rFonts w:ascii="Times New Roman" w:hAnsi="Times New Roman"/>
              <w:b/>
              <w:sz w:val="24"/>
              <w:lang w:val="hr-HR"/>
            </w:rPr>
          </w:pPr>
          <w:r w:rsidRPr="00344050">
            <w:rPr>
              <w:rFonts w:ascii="Times New Roman" w:hAnsi="Times New Roman"/>
              <w:b/>
              <w:sz w:val="24"/>
              <w:lang w:val="hr-HR"/>
            </w:rPr>
            <w:t>Ministarstvo regionalnoga razvoja i fondova Europske unije (MRRFEU)</w:t>
          </w:r>
        </w:p>
      </w:tc>
      <w:tc>
        <w:tcPr>
          <w:tcW w:w="2095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1358EE14" w14:textId="77777777" w:rsidR="00FF7B7B" w:rsidRPr="00344050" w:rsidRDefault="00FF7B7B" w:rsidP="001D6774">
          <w:pPr>
            <w:pStyle w:val="Arial105ptbefore"/>
            <w:spacing w:before="0"/>
            <w:jc w:val="center"/>
            <w:rPr>
              <w:rFonts w:ascii="Times New Roman" w:hAnsi="Times New Roman"/>
              <w:b/>
              <w:sz w:val="24"/>
              <w:lang w:val="hr-HR"/>
            </w:rPr>
          </w:pPr>
          <w:r w:rsidRPr="00344050">
            <w:rPr>
              <w:rFonts w:ascii="Times New Roman" w:hAnsi="Times New Roman"/>
              <w:b/>
              <w:sz w:val="24"/>
              <w:lang w:val="hr-HR"/>
            </w:rPr>
            <w:t xml:space="preserve">PRAVILA </w:t>
          </w:r>
        </w:p>
        <w:p w14:paraId="55B23853" w14:textId="77777777" w:rsidR="00FF7B7B" w:rsidRPr="00344050" w:rsidRDefault="00FF7B7B" w:rsidP="001D6774">
          <w:pPr>
            <w:pStyle w:val="Arial105ptbefore"/>
            <w:spacing w:before="0"/>
            <w:jc w:val="center"/>
            <w:rPr>
              <w:rFonts w:ascii="Times New Roman" w:hAnsi="Times New Roman"/>
              <w:b/>
              <w:sz w:val="24"/>
              <w:lang w:val="hr-HR"/>
            </w:rPr>
          </w:pPr>
          <w:r w:rsidRPr="00344050">
            <w:rPr>
              <w:rFonts w:ascii="Times New Roman" w:hAnsi="Times New Roman"/>
              <w:b/>
              <w:sz w:val="24"/>
              <w:lang w:val="hr-HR"/>
            </w:rPr>
            <w:t>2014.-2020.</w:t>
          </w:r>
        </w:p>
      </w:tc>
      <w:tc>
        <w:tcPr>
          <w:tcW w:w="24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127B7CC" w14:textId="77777777" w:rsidR="00FF7B7B" w:rsidRPr="00344050" w:rsidRDefault="00FF7B7B" w:rsidP="001D6774">
          <w:pPr>
            <w:pStyle w:val="Arial105ptbefore"/>
            <w:spacing w:before="0"/>
            <w:jc w:val="center"/>
            <w:rPr>
              <w:rFonts w:ascii="Times New Roman" w:hAnsi="Times New Roman"/>
              <w:b/>
              <w:sz w:val="24"/>
              <w:lang w:val="hr-HR"/>
            </w:rPr>
          </w:pPr>
          <w:r w:rsidRPr="00344050">
            <w:rPr>
              <w:rFonts w:ascii="Times New Roman" w:hAnsi="Times New Roman"/>
              <w:b/>
              <w:sz w:val="24"/>
              <w:lang w:val="hr-HR"/>
            </w:rPr>
            <w:t>Pravilo br.</w:t>
          </w:r>
        </w:p>
      </w:tc>
      <w:tc>
        <w:tcPr>
          <w:tcW w:w="23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C2D94F" w14:textId="77777777" w:rsidR="00FF7B7B" w:rsidRPr="00344050" w:rsidRDefault="00FF7B7B" w:rsidP="001D6774">
          <w:pPr>
            <w:pStyle w:val="Arial105ptbefore"/>
            <w:spacing w:before="0"/>
            <w:jc w:val="center"/>
            <w:rPr>
              <w:rFonts w:ascii="Times New Roman" w:hAnsi="Times New Roman"/>
              <w:b/>
              <w:sz w:val="24"/>
              <w:lang w:val="hr-HR"/>
            </w:rPr>
          </w:pPr>
          <w:r w:rsidRPr="00344050">
            <w:rPr>
              <w:rFonts w:ascii="Times New Roman" w:hAnsi="Times New Roman"/>
              <w:b/>
              <w:sz w:val="24"/>
              <w:lang w:val="hr-HR"/>
            </w:rPr>
            <w:t>14</w:t>
          </w:r>
        </w:p>
      </w:tc>
    </w:tr>
    <w:tr w:rsidR="00FF7B7B" w:rsidRPr="00F03D82" w14:paraId="798C3DA5" w14:textId="77777777" w:rsidTr="00F64452">
      <w:trPr>
        <w:trHeight w:val="329"/>
        <w:jc w:val="center"/>
      </w:trPr>
      <w:tc>
        <w:tcPr>
          <w:tcW w:w="2720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14:paraId="6E9B0090" w14:textId="77777777" w:rsidR="00FF7B7B" w:rsidRPr="00344050" w:rsidRDefault="00FF7B7B" w:rsidP="001D6774">
          <w:pPr>
            <w:pStyle w:val="Arial105ptbefore"/>
            <w:spacing w:before="0"/>
            <w:jc w:val="center"/>
            <w:rPr>
              <w:rFonts w:ascii="Times New Roman" w:hAnsi="Times New Roman"/>
              <w:b/>
              <w:sz w:val="24"/>
              <w:lang w:val="hr-HR"/>
            </w:rPr>
          </w:pPr>
        </w:p>
      </w:tc>
      <w:tc>
        <w:tcPr>
          <w:tcW w:w="2095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4B719171" w14:textId="77777777" w:rsidR="00FF7B7B" w:rsidRPr="00344050" w:rsidRDefault="00FF7B7B" w:rsidP="001D6774">
          <w:pPr>
            <w:pStyle w:val="Arial105ptbefore"/>
            <w:spacing w:before="0"/>
            <w:jc w:val="center"/>
            <w:rPr>
              <w:rFonts w:ascii="Times New Roman" w:hAnsi="Times New Roman"/>
              <w:b/>
              <w:sz w:val="24"/>
              <w:lang w:val="hr-HR"/>
            </w:rPr>
          </w:pPr>
        </w:p>
      </w:tc>
      <w:tc>
        <w:tcPr>
          <w:tcW w:w="24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EE58313" w14:textId="77777777" w:rsidR="00FF7B7B" w:rsidRPr="00344050" w:rsidRDefault="00FF7B7B" w:rsidP="00FA4DA9">
          <w:pPr>
            <w:pStyle w:val="Arial105ptbefore"/>
            <w:spacing w:before="0"/>
            <w:jc w:val="center"/>
            <w:rPr>
              <w:rFonts w:ascii="Times New Roman" w:hAnsi="Times New Roman"/>
              <w:b/>
              <w:sz w:val="24"/>
              <w:lang w:val="hr-HR"/>
            </w:rPr>
          </w:pPr>
          <w:r w:rsidRPr="00344050">
            <w:rPr>
              <w:rFonts w:ascii="Times New Roman" w:hAnsi="Times New Roman"/>
              <w:b/>
              <w:sz w:val="24"/>
              <w:lang w:val="hr-HR"/>
            </w:rPr>
            <w:t xml:space="preserve">Datum </w:t>
          </w:r>
        </w:p>
      </w:tc>
      <w:tc>
        <w:tcPr>
          <w:tcW w:w="23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E266BE" w14:textId="7A0B1234" w:rsidR="00FF7B7B" w:rsidRPr="00344050" w:rsidRDefault="002745F9" w:rsidP="000F6B9B">
          <w:pPr>
            <w:pStyle w:val="Arial105ptbefore"/>
            <w:spacing w:before="0"/>
            <w:jc w:val="center"/>
            <w:rPr>
              <w:rFonts w:ascii="Times New Roman" w:hAnsi="Times New Roman"/>
              <w:b/>
              <w:sz w:val="24"/>
              <w:lang w:val="hr-HR"/>
            </w:rPr>
          </w:pPr>
          <w:r>
            <w:rPr>
              <w:rFonts w:ascii="Times New Roman" w:hAnsi="Times New Roman"/>
              <w:b/>
              <w:sz w:val="24"/>
              <w:lang w:val="hr-HR"/>
            </w:rPr>
            <w:t>Prosinac</w:t>
          </w:r>
          <w:r w:rsidR="009A56FA">
            <w:rPr>
              <w:rFonts w:ascii="Times New Roman" w:hAnsi="Times New Roman"/>
              <w:b/>
              <w:sz w:val="24"/>
              <w:lang w:val="hr-HR"/>
            </w:rPr>
            <w:t xml:space="preserve"> </w:t>
          </w:r>
          <w:r w:rsidR="00FF7B7B">
            <w:rPr>
              <w:rFonts w:ascii="Times New Roman" w:hAnsi="Times New Roman"/>
              <w:b/>
              <w:sz w:val="24"/>
              <w:lang w:val="hr-HR"/>
            </w:rPr>
            <w:t>2020.</w:t>
          </w:r>
        </w:p>
      </w:tc>
    </w:tr>
    <w:tr w:rsidR="00FF7B7B" w:rsidRPr="00F03D82" w14:paraId="02EB1794" w14:textId="77777777" w:rsidTr="00F64452">
      <w:trPr>
        <w:jc w:val="center"/>
      </w:trPr>
      <w:tc>
        <w:tcPr>
          <w:tcW w:w="2720" w:type="dxa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14:paraId="1425CCBE" w14:textId="77777777" w:rsidR="00FF7B7B" w:rsidRPr="00344050" w:rsidRDefault="00FF7B7B" w:rsidP="001D6774">
          <w:pPr>
            <w:pStyle w:val="Arial105ptbefore"/>
            <w:spacing w:before="0"/>
            <w:jc w:val="center"/>
            <w:rPr>
              <w:rFonts w:ascii="Times New Roman" w:hAnsi="Times New Roman"/>
              <w:b/>
              <w:sz w:val="24"/>
              <w:lang w:val="hr-HR"/>
            </w:rPr>
          </w:pPr>
        </w:p>
      </w:tc>
      <w:tc>
        <w:tcPr>
          <w:tcW w:w="2095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  <w:vAlign w:val="center"/>
        </w:tcPr>
        <w:p w14:paraId="092C5AC9" w14:textId="77777777" w:rsidR="00FF7B7B" w:rsidRPr="00344050" w:rsidRDefault="00FF7B7B" w:rsidP="001D6774">
          <w:pPr>
            <w:pStyle w:val="Arial105ptbefore"/>
            <w:spacing w:before="0"/>
            <w:jc w:val="center"/>
            <w:rPr>
              <w:rFonts w:ascii="Times New Roman" w:hAnsi="Times New Roman"/>
              <w:b/>
              <w:sz w:val="24"/>
              <w:lang w:val="hr-HR"/>
            </w:rPr>
          </w:pPr>
          <w:r w:rsidRPr="00344050">
            <w:rPr>
              <w:rFonts w:ascii="Times New Roman" w:hAnsi="Times New Roman"/>
              <w:b/>
              <w:sz w:val="24"/>
              <w:lang w:val="hr-HR"/>
            </w:rPr>
            <w:t>Financijski instrumenti</w:t>
          </w:r>
        </w:p>
      </w:tc>
      <w:tc>
        <w:tcPr>
          <w:tcW w:w="24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5A3889F" w14:textId="77777777" w:rsidR="00FF7B7B" w:rsidRPr="00344050" w:rsidRDefault="00FF7B7B" w:rsidP="001D6774">
          <w:pPr>
            <w:pStyle w:val="Arial105ptbefore"/>
            <w:spacing w:before="0"/>
            <w:jc w:val="center"/>
            <w:rPr>
              <w:rFonts w:ascii="Times New Roman" w:hAnsi="Times New Roman"/>
              <w:b/>
              <w:sz w:val="24"/>
              <w:lang w:val="hr-HR"/>
            </w:rPr>
          </w:pPr>
          <w:r w:rsidRPr="00344050">
            <w:rPr>
              <w:rFonts w:ascii="Times New Roman" w:hAnsi="Times New Roman"/>
              <w:b/>
              <w:sz w:val="24"/>
              <w:lang w:val="hr-HR"/>
            </w:rPr>
            <w:t>Verzija</w:t>
          </w:r>
        </w:p>
      </w:tc>
      <w:tc>
        <w:tcPr>
          <w:tcW w:w="23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DBCE6B1" w14:textId="23024B34" w:rsidR="00FF7B7B" w:rsidRPr="007B06A7" w:rsidRDefault="00A21960" w:rsidP="000F6B9B">
          <w:pPr>
            <w:pStyle w:val="Arial105ptbefore"/>
            <w:spacing w:before="0"/>
            <w:jc w:val="center"/>
            <w:rPr>
              <w:rFonts w:ascii="Times New Roman" w:hAnsi="Times New Roman"/>
              <w:b/>
              <w:sz w:val="24"/>
              <w:lang w:val="hr-HR"/>
            </w:rPr>
          </w:pPr>
          <w:r>
            <w:rPr>
              <w:rFonts w:ascii="Times New Roman" w:hAnsi="Times New Roman"/>
              <w:b/>
              <w:sz w:val="24"/>
            </w:rPr>
            <w:t>7</w:t>
          </w:r>
          <w:r w:rsidR="00FF7B7B">
            <w:rPr>
              <w:rFonts w:ascii="Times New Roman" w:hAnsi="Times New Roman"/>
              <w:b/>
              <w:sz w:val="24"/>
            </w:rPr>
            <w:t>.0</w:t>
          </w:r>
        </w:p>
      </w:tc>
    </w:tr>
    <w:tr w:rsidR="00FF7B7B" w:rsidRPr="00F03D82" w14:paraId="3B8C6007" w14:textId="77777777" w:rsidTr="00F64452">
      <w:trPr>
        <w:trHeight w:val="350"/>
        <w:jc w:val="center"/>
      </w:trPr>
      <w:tc>
        <w:tcPr>
          <w:tcW w:w="2720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FF4453C" w14:textId="77777777" w:rsidR="00FF7B7B" w:rsidRPr="00344050" w:rsidRDefault="00FF7B7B" w:rsidP="001D6774">
          <w:pPr>
            <w:pStyle w:val="Arial105ptbefore"/>
            <w:spacing w:before="0"/>
            <w:jc w:val="center"/>
            <w:rPr>
              <w:rFonts w:ascii="Times New Roman" w:hAnsi="Times New Roman"/>
              <w:b/>
              <w:sz w:val="24"/>
              <w:lang w:val="hr-HR"/>
            </w:rPr>
          </w:pPr>
        </w:p>
      </w:tc>
      <w:tc>
        <w:tcPr>
          <w:tcW w:w="2095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910D8AE" w14:textId="77777777" w:rsidR="00FF7B7B" w:rsidRPr="00344050" w:rsidRDefault="00FF7B7B" w:rsidP="001D6774">
          <w:pPr>
            <w:pStyle w:val="Arial105ptbefore"/>
            <w:spacing w:before="0"/>
            <w:jc w:val="center"/>
            <w:rPr>
              <w:rFonts w:ascii="Times New Roman" w:hAnsi="Times New Roman"/>
              <w:b/>
              <w:sz w:val="24"/>
              <w:lang w:val="hr-HR"/>
            </w:rPr>
          </w:pPr>
        </w:p>
      </w:tc>
      <w:tc>
        <w:tcPr>
          <w:tcW w:w="24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555971" w14:textId="77777777" w:rsidR="00FF7B7B" w:rsidRPr="00344050" w:rsidRDefault="00FF7B7B" w:rsidP="00FA4DA9">
          <w:pPr>
            <w:pStyle w:val="Arial105ptbefore"/>
            <w:spacing w:before="0"/>
            <w:jc w:val="center"/>
            <w:rPr>
              <w:rFonts w:ascii="Times New Roman" w:hAnsi="Times New Roman"/>
              <w:b/>
              <w:sz w:val="24"/>
              <w:lang w:val="hr-HR"/>
            </w:rPr>
          </w:pPr>
          <w:r w:rsidRPr="00344050">
            <w:rPr>
              <w:rFonts w:ascii="Times New Roman" w:hAnsi="Times New Roman"/>
              <w:b/>
              <w:sz w:val="24"/>
              <w:lang w:val="hr-HR"/>
            </w:rPr>
            <w:t xml:space="preserve">Pravilo </w:t>
          </w:r>
          <w:r>
            <w:rPr>
              <w:rFonts w:ascii="Times New Roman" w:hAnsi="Times New Roman"/>
              <w:b/>
              <w:sz w:val="24"/>
              <w:lang w:val="hr-HR"/>
            </w:rPr>
            <w:t>donosi</w:t>
          </w:r>
        </w:p>
      </w:tc>
      <w:tc>
        <w:tcPr>
          <w:tcW w:w="238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354E971" w14:textId="0C90C5D0" w:rsidR="00FF7B7B" w:rsidRPr="00344050" w:rsidRDefault="00FF7B7B" w:rsidP="00F64452">
          <w:pPr>
            <w:pStyle w:val="Arial105ptbefore"/>
            <w:spacing w:before="0"/>
            <w:jc w:val="center"/>
            <w:rPr>
              <w:rFonts w:ascii="Times New Roman" w:hAnsi="Times New Roman"/>
              <w:b/>
              <w:sz w:val="24"/>
              <w:lang w:val="hr-HR"/>
            </w:rPr>
          </w:pPr>
          <w:r w:rsidRPr="00344050">
            <w:rPr>
              <w:rFonts w:ascii="Times New Roman" w:hAnsi="Times New Roman"/>
              <w:b/>
              <w:sz w:val="24"/>
              <w:lang w:val="hr-HR"/>
            </w:rPr>
            <w:t>Minist</w:t>
          </w:r>
          <w:r w:rsidR="00E34E14">
            <w:rPr>
              <w:rFonts w:ascii="Times New Roman" w:hAnsi="Times New Roman"/>
              <w:b/>
              <w:sz w:val="24"/>
              <w:lang w:val="hr-HR"/>
            </w:rPr>
            <w:t>rica</w:t>
          </w:r>
          <w:r w:rsidRPr="00344050">
            <w:rPr>
              <w:rFonts w:ascii="Times New Roman" w:hAnsi="Times New Roman"/>
              <w:b/>
              <w:sz w:val="24"/>
              <w:lang w:val="hr-HR"/>
            </w:rPr>
            <w:t xml:space="preserve"> MRRFEU </w:t>
          </w:r>
        </w:p>
      </w:tc>
    </w:tr>
  </w:tbl>
  <w:p w14:paraId="134CCD6E" w14:textId="77777777" w:rsidR="00FF7B7B" w:rsidRDefault="00FF7B7B" w:rsidP="00197934">
    <w:pPr>
      <w:pStyle w:val="Arial105ptbefore"/>
      <w:rPr>
        <w:szCs w:val="20"/>
      </w:rPr>
    </w:pPr>
  </w:p>
  <w:p w14:paraId="0471A31F" w14:textId="3D5E5D44" w:rsidR="00FF7B7B" w:rsidRPr="00777543" w:rsidRDefault="00A21960" w:rsidP="00A21960">
    <w:pPr>
      <w:pStyle w:val="Arial105ptbefore"/>
      <w:tabs>
        <w:tab w:val="left" w:pos="6930"/>
      </w:tabs>
      <w:rPr>
        <w:szCs w:val="20"/>
      </w:rPr>
    </w:pPr>
    <w:r>
      <w:rPr>
        <w:szCs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C1605"/>
    <w:multiLevelType w:val="multilevel"/>
    <w:tmpl w:val="F7AE65C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9E83DF3"/>
    <w:multiLevelType w:val="hybridMultilevel"/>
    <w:tmpl w:val="74DCBE38"/>
    <w:lvl w:ilvl="0" w:tplc="2014E8E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439EB"/>
    <w:multiLevelType w:val="hybridMultilevel"/>
    <w:tmpl w:val="4E4C0804"/>
    <w:lvl w:ilvl="0" w:tplc="041A0017">
      <w:start w:val="1"/>
      <w:numFmt w:val="lowerLetter"/>
      <w:lvlText w:val="%1)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062352"/>
    <w:multiLevelType w:val="hybridMultilevel"/>
    <w:tmpl w:val="69125BA8"/>
    <w:lvl w:ilvl="0" w:tplc="474CC4F2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 w:themeColor="text1"/>
        <w:sz w:val="24"/>
        <w:szCs w:val="24"/>
        <w:vertAlign w:val="baseline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FC0C20C4">
      <w:start w:val="1"/>
      <w:numFmt w:val="lowerLetter"/>
      <w:lvlText w:val="(%3)"/>
      <w:lvlJc w:val="left"/>
      <w:pPr>
        <w:ind w:left="2355" w:hanging="375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1E286D"/>
    <w:multiLevelType w:val="hybridMultilevel"/>
    <w:tmpl w:val="950A0F18"/>
    <w:lvl w:ilvl="0" w:tplc="4B767882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5E76624A">
      <w:start w:val="1"/>
      <w:numFmt w:val="lowerLetter"/>
      <w:lvlText w:val="%2)"/>
      <w:lvlJc w:val="left"/>
      <w:pPr>
        <w:ind w:left="2782" w:hanging="360"/>
      </w:pPr>
      <w:rPr>
        <w:rFonts w:eastAsia="Times New Roman" w:hint="default"/>
        <w:b/>
      </w:rPr>
    </w:lvl>
    <w:lvl w:ilvl="2" w:tplc="041A001B" w:tentative="1">
      <w:start w:val="1"/>
      <w:numFmt w:val="lowerRoman"/>
      <w:lvlText w:val="%3."/>
      <w:lvlJc w:val="right"/>
      <w:pPr>
        <w:ind w:left="3502" w:hanging="180"/>
      </w:pPr>
    </w:lvl>
    <w:lvl w:ilvl="3" w:tplc="041A000F" w:tentative="1">
      <w:start w:val="1"/>
      <w:numFmt w:val="decimal"/>
      <w:lvlText w:val="%4."/>
      <w:lvlJc w:val="left"/>
      <w:pPr>
        <w:ind w:left="4222" w:hanging="360"/>
      </w:pPr>
    </w:lvl>
    <w:lvl w:ilvl="4" w:tplc="041A0019" w:tentative="1">
      <w:start w:val="1"/>
      <w:numFmt w:val="lowerLetter"/>
      <w:lvlText w:val="%5."/>
      <w:lvlJc w:val="left"/>
      <w:pPr>
        <w:ind w:left="4942" w:hanging="360"/>
      </w:pPr>
    </w:lvl>
    <w:lvl w:ilvl="5" w:tplc="041A001B" w:tentative="1">
      <w:start w:val="1"/>
      <w:numFmt w:val="lowerRoman"/>
      <w:lvlText w:val="%6."/>
      <w:lvlJc w:val="right"/>
      <w:pPr>
        <w:ind w:left="5662" w:hanging="180"/>
      </w:pPr>
    </w:lvl>
    <w:lvl w:ilvl="6" w:tplc="041A000F" w:tentative="1">
      <w:start w:val="1"/>
      <w:numFmt w:val="decimal"/>
      <w:lvlText w:val="%7."/>
      <w:lvlJc w:val="left"/>
      <w:pPr>
        <w:ind w:left="6382" w:hanging="360"/>
      </w:pPr>
    </w:lvl>
    <w:lvl w:ilvl="7" w:tplc="041A0019" w:tentative="1">
      <w:start w:val="1"/>
      <w:numFmt w:val="lowerLetter"/>
      <w:lvlText w:val="%8."/>
      <w:lvlJc w:val="left"/>
      <w:pPr>
        <w:ind w:left="7102" w:hanging="360"/>
      </w:pPr>
    </w:lvl>
    <w:lvl w:ilvl="8" w:tplc="041A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5" w15:restartNumberingAfterBreak="0">
    <w:nsid w:val="1EDC24E7"/>
    <w:multiLevelType w:val="hybridMultilevel"/>
    <w:tmpl w:val="995C0B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EF7BCD"/>
    <w:multiLevelType w:val="hybridMultilevel"/>
    <w:tmpl w:val="1A92B7AC"/>
    <w:lvl w:ilvl="0" w:tplc="2014E8EE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784547"/>
    <w:multiLevelType w:val="hybridMultilevel"/>
    <w:tmpl w:val="CAACB978"/>
    <w:lvl w:ilvl="0" w:tplc="2014E8E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0E4F60"/>
    <w:multiLevelType w:val="hybridMultilevel"/>
    <w:tmpl w:val="D08C40DA"/>
    <w:lvl w:ilvl="0" w:tplc="1660CC8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0E1436"/>
    <w:multiLevelType w:val="multilevel"/>
    <w:tmpl w:val="E68898DA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445A7806"/>
    <w:multiLevelType w:val="hybridMultilevel"/>
    <w:tmpl w:val="D72091DA"/>
    <w:lvl w:ilvl="0" w:tplc="8594DE2E">
      <w:start w:val="1"/>
      <w:numFmt w:val="lowerLetter"/>
      <w:lvlText w:val="%1)"/>
      <w:lvlJc w:val="left"/>
      <w:pPr>
        <w:ind w:left="795" w:hanging="435"/>
      </w:pPr>
      <w:rPr>
        <w:rFonts w:eastAsia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D97831"/>
    <w:multiLevelType w:val="hybridMultilevel"/>
    <w:tmpl w:val="BA6A0DAC"/>
    <w:lvl w:ilvl="0" w:tplc="474CC4F2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 w:themeColor="text1"/>
        <w:sz w:val="24"/>
        <w:szCs w:val="24"/>
        <w:vertAlign w:val="baseline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FC0C20C4">
      <w:start w:val="1"/>
      <w:numFmt w:val="lowerLetter"/>
      <w:lvlText w:val="(%3)"/>
      <w:lvlJc w:val="left"/>
      <w:pPr>
        <w:ind w:left="2355" w:hanging="375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6D3178"/>
    <w:multiLevelType w:val="hybridMultilevel"/>
    <w:tmpl w:val="BA6A0DAC"/>
    <w:lvl w:ilvl="0" w:tplc="474CC4F2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000000" w:themeColor="text1"/>
        <w:sz w:val="24"/>
        <w:szCs w:val="24"/>
        <w:vertAlign w:val="baseline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FC0C20C4">
      <w:start w:val="1"/>
      <w:numFmt w:val="lowerLetter"/>
      <w:lvlText w:val="(%3)"/>
      <w:lvlJc w:val="left"/>
      <w:pPr>
        <w:ind w:left="2355" w:hanging="375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FF54F3"/>
    <w:multiLevelType w:val="hybridMultilevel"/>
    <w:tmpl w:val="3452AB90"/>
    <w:lvl w:ilvl="0" w:tplc="2014E8E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F343571"/>
    <w:multiLevelType w:val="hybridMultilevel"/>
    <w:tmpl w:val="ED96229A"/>
    <w:lvl w:ilvl="0" w:tplc="AF8E590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CF494B"/>
    <w:multiLevelType w:val="hybridMultilevel"/>
    <w:tmpl w:val="C2C215D2"/>
    <w:lvl w:ilvl="0" w:tplc="B936CF0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1A5E6F"/>
    <w:multiLevelType w:val="hybridMultilevel"/>
    <w:tmpl w:val="1890A1D8"/>
    <w:lvl w:ilvl="0" w:tplc="2014E8EE">
      <w:start w:val="1"/>
      <w:numFmt w:val="bullet"/>
      <w:lvlText w:val="-"/>
      <w:lvlJc w:val="left"/>
      <w:pPr>
        <w:ind w:left="755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7" w15:restartNumberingAfterBreak="0">
    <w:nsid w:val="584C36E5"/>
    <w:multiLevelType w:val="hybridMultilevel"/>
    <w:tmpl w:val="BA34F8C4"/>
    <w:lvl w:ilvl="0" w:tplc="0408E9B6">
      <w:start w:val="1"/>
      <w:numFmt w:val="decimal"/>
      <w:pStyle w:val="XXXRulesParagraph"/>
      <w:lvlText w:val="%1."/>
      <w:lvlJc w:val="left"/>
      <w:pPr>
        <w:ind w:left="720" w:hanging="360"/>
      </w:pPr>
      <w:rPr>
        <w:rFonts w:ascii="Arial" w:hAnsi="Arial" w:hint="default"/>
        <w:caps w:val="0"/>
        <w:strike w:val="0"/>
        <w:dstrike w:val="0"/>
        <w:vanish w:val="0"/>
        <w:sz w:val="20"/>
        <w:vertAlign w:val="baseli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64351C"/>
    <w:multiLevelType w:val="hybridMultilevel"/>
    <w:tmpl w:val="6772DFB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BE067A"/>
    <w:multiLevelType w:val="hybridMultilevel"/>
    <w:tmpl w:val="CE368048"/>
    <w:lvl w:ilvl="0" w:tplc="C8424A4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FA18BA"/>
    <w:multiLevelType w:val="hybridMultilevel"/>
    <w:tmpl w:val="42E6ED56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570F90"/>
    <w:multiLevelType w:val="hybridMultilevel"/>
    <w:tmpl w:val="689CA4DC"/>
    <w:lvl w:ilvl="0" w:tplc="2014E8E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C7001D"/>
    <w:multiLevelType w:val="multilevel"/>
    <w:tmpl w:val="EFD461C2"/>
    <w:lvl w:ilvl="0">
      <w:start w:val="1"/>
      <w:numFmt w:val="decimal"/>
      <w:lvlText w:val="%1.0"/>
      <w:lvlJc w:val="left"/>
      <w:pPr>
        <w:ind w:left="624" w:hanging="624"/>
      </w:pPr>
      <w:rPr>
        <w:rFonts w:hint="default"/>
      </w:rPr>
    </w:lvl>
    <w:lvl w:ilvl="1">
      <w:start w:val="1"/>
      <w:numFmt w:val="decimal"/>
      <w:pStyle w:val="xxRulesParagraph"/>
      <w:lvlText w:val="%1.%2"/>
      <w:lvlJc w:val="left"/>
      <w:pPr>
        <w:ind w:left="1617" w:hanging="62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55" w:hanging="90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02" w:hanging="113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."/>
      <w:lvlJc w:val="left"/>
      <w:pPr>
        <w:ind w:left="307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3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97" w:hanging="357"/>
      </w:pPr>
      <w:rPr>
        <w:rFonts w:hint="default"/>
      </w:rPr>
    </w:lvl>
  </w:abstractNum>
  <w:num w:numId="1">
    <w:abstractNumId w:val="22"/>
  </w:num>
  <w:num w:numId="2">
    <w:abstractNumId w:val="17"/>
  </w:num>
  <w:num w:numId="3">
    <w:abstractNumId w:val="3"/>
  </w:num>
  <w:num w:numId="4">
    <w:abstractNumId w:val="14"/>
  </w:num>
  <w:num w:numId="5">
    <w:abstractNumId w:val="15"/>
  </w:num>
  <w:num w:numId="6">
    <w:abstractNumId w:val="9"/>
  </w:num>
  <w:num w:numId="7">
    <w:abstractNumId w:val="0"/>
  </w:num>
  <w:num w:numId="8">
    <w:abstractNumId w:val="6"/>
  </w:num>
  <w:num w:numId="9">
    <w:abstractNumId w:val="4"/>
  </w:num>
  <w:num w:numId="10">
    <w:abstractNumId w:val="8"/>
  </w:num>
  <w:num w:numId="11">
    <w:abstractNumId w:val="13"/>
  </w:num>
  <w:num w:numId="12">
    <w:abstractNumId w:val="1"/>
  </w:num>
  <w:num w:numId="13">
    <w:abstractNumId w:val="21"/>
  </w:num>
  <w:num w:numId="14">
    <w:abstractNumId w:val="5"/>
  </w:num>
  <w:num w:numId="15">
    <w:abstractNumId w:val="7"/>
  </w:num>
  <w:num w:numId="16">
    <w:abstractNumId w:val="18"/>
  </w:num>
  <w:num w:numId="17">
    <w:abstractNumId w:val="2"/>
  </w:num>
  <w:num w:numId="18">
    <w:abstractNumId w:val="20"/>
  </w:num>
  <w:num w:numId="19">
    <w:abstractNumId w:val="16"/>
  </w:num>
  <w:num w:numId="20">
    <w:abstractNumId w:val="19"/>
  </w:num>
  <w:num w:numId="21">
    <w:abstractNumId w:val="10"/>
  </w:num>
  <w:num w:numId="22">
    <w:abstractNumId w:val="3"/>
  </w:num>
  <w:num w:numId="23">
    <w:abstractNumId w:val="12"/>
  </w:num>
  <w:num w:numId="24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oNotTrackFormatting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70E"/>
    <w:rsid w:val="000001BA"/>
    <w:rsid w:val="00000992"/>
    <w:rsid w:val="00001AD7"/>
    <w:rsid w:val="00001B0E"/>
    <w:rsid w:val="00001B20"/>
    <w:rsid w:val="00001BA0"/>
    <w:rsid w:val="00002266"/>
    <w:rsid w:val="0000232B"/>
    <w:rsid w:val="00003BBF"/>
    <w:rsid w:val="00004306"/>
    <w:rsid w:val="00004DA6"/>
    <w:rsid w:val="00004F1A"/>
    <w:rsid w:val="00004F5C"/>
    <w:rsid w:val="00005BCF"/>
    <w:rsid w:val="000065D3"/>
    <w:rsid w:val="00006DA7"/>
    <w:rsid w:val="00006F5A"/>
    <w:rsid w:val="00006FA4"/>
    <w:rsid w:val="00007312"/>
    <w:rsid w:val="000073D4"/>
    <w:rsid w:val="00007485"/>
    <w:rsid w:val="000108EE"/>
    <w:rsid w:val="00010CA1"/>
    <w:rsid w:val="00010F22"/>
    <w:rsid w:val="00011A52"/>
    <w:rsid w:val="0001244D"/>
    <w:rsid w:val="00012B22"/>
    <w:rsid w:val="000139E7"/>
    <w:rsid w:val="00014CDC"/>
    <w:rsid w:val="000157A7"/>
    <w:rsid w:val="00016A5D"/>
    <w:rsid w:val="00016D86"/>
    <w:rsid w:val="00017089"/>
    <w:rsid w:val="00017323"/>
    <w:rsid w:val="00017850"/>
    <w:rsid w:val="00017EF9"/>
    <w:rsid w:val="00017FD3"/>
    <w:rsid w:val="0002029B"/>
    <w:rsid w:val="0002085E"/>
    <w:rsid w:val="00021479"/>
    <w:rsid w:val="00021880"/>
    <w:rsid w:val="00023AC7"/>
    <w:rsid w:val="00023D45"/>
    <w:rsid w:val="00024353"/>
    <w:rsid w:val="0002487D"/>
    <w:rsid w:val="00026931"/>
    <w:rsid w:val="000304F2"/>
    <w:rsid w:val="00031B6F"/>
    <w:rsid w:val="00032464"/>
    <w:rsid w:val="0003289D"/>
    <w:rsid w:val="00032E0F"/>
    <w:rsid w:val="00032F27"/>
    <w:rsid w:val="000330E4"/>
    <w:rsid w:val="00033612"/>
    <w:rsid w:val="000336E8"/>
    <w:rsid w:val="000338B9"/>
    <w:rsid w:val="00033EAA"/>
    <w:rsid w:val="000340A9"/>
    <w:rsid w:val="00034262"/>
    <w:rsid w:val="0003542A"/>
    <w:rsid w:val="000356FD"/>
    <w:rsid w:val="0003602E"/>
    <w:rsid w:val="000361D5"/>
    <w:rsid w:val="00037058"/>
    <w:rsid w:val="00037657"/>
    <w:rsid w:val="00037C79"/>
    <w:rsid w:val="0004006E"/>
    <w:rsid w:val="000402DB"/>
    <w:rsid w:val="00040C40"/>
    <w:rsid w:val="00040C50"/>
    <w:rsid w:val="000428DC"/>
    <w:rsid w:val="00042F31"/>
    <w:rsid w:val="0004390E"/>
    <w:rsid w:val="00044987"/>
    <w:rsid w:val="000449C1"/>
    <w:rsid w:val="00044AF5"/>
    <w:rsid w:val="000466B1"/>
    <w:rsid w:val="00046AB1"/>
    <w:rsid w:val="0004745E"/>
    <w:rsid w:val="00047996"/>
    <w:rsid w:val="000502FE"/>
    <w:rsid w:val="00050C78"/>
    <w:rsid w:val="000513C2"/>
    <w:rsid w:val="000532AD"/>
    <w:rsid w:val="00053F8D"/>
    <w:rsid w:val="000550F7"/>
    <w:rsid w:val="000552A6"/>
    <w:rsid w:val="000572A2"/>
    <w:rsid w:val="00057448"/>
    <w:rsid w:val="00057860"/>
    <w:rsid w:val="000579C7"/>
    <w:rsid w:val="00060C9B"/>
    <w:rsid w:val="00060EE5"/>
    <w:rsid w:val="00061622"/>
    <w:rsid w:val="00061E2E"/>
    <w:rsid w:val="00061EF7"/>
    <w:rsid w:val="00062C8B"/>
    <w:rsid w:val="000634FF"/>
    <w:rsid w:val="00063552"/>
    <w:rsid w:val="00064A51"/>
    <w:rsid w:val="000652FC"/>
    <w:rsid w:val="00067572"/>
    <w:rsid w:val="000678AF"/>
    <w:rsid w:val="00070C3B"/>
    <w:rsid w:val="000713C9"/>
    <w:rsid w:val="000723CB"/>
    <w:rsid w:val="000725B5"/>
    <w:rsid w:val="000726E0"/>
    <w:rsid w:val="00072716"/>
    <w:rsid w:val="00072EE7"/>
    <w:rsid w:val="00073534"/>
    <w:rsid w:val="00073D10"/>
    <w:rsid w:val="00073DC9"/>
    <w:rsid w:val="00074B12"/>
    <w:rsid w:val="000750F9"/>
    <w:rsid w:val="00075393"/>
    <w:rsid w:val="00075B7A"/>
    <w:rsid w:val="00075E3F"/>
    <w:rsid w:val="00075EAF"/>
    <w:rsid w:val="0007616A"/>
    <w:rsid w:val="000762C4"/>
    <w:rsid w:val="0007685C"/>
    <w:rsid w:val="00076B3E"/>
    <w:rsid w:val="000770EE"/>
    <w:rsid w:val="00077114"/>
    <w:rsid w:val="00077648"/>
    <w:rsid w:val="00080046"/>
    <w:rsid w:val="000803F8"/>
    <w:rsid w:val="00080DDB"/>
    <w:rsid w:val="000811BB"/>
    <w:rsid w:val="000813E5"/>
    <w:rsid w:val="00081F11"/>
    <w:rsid w:val="00082145"/>
    <w:rsid w:val="000834FC"/>
    <w:rsid w:val="00083769"/>
    <w:rsid w:val="00083FAA"/>
    <w:rsid w:val="0008450F"/>
    <w:rsid w:val="00084532"/>
    <w:rsid w:val="000848B4"/>
    <w:rsid w:val="0008518A"/>
    <w:rsid w:val="0008522E"/>
    <w:rsid w:val="00085604"/>
    <w:rsid w:val="00086442"/>
    <w:rsid w:val="000867A2"/>
    <w:rsid w:val="00086FCC"/>
    <w:rsid w:val="00087F45"/>
    <w:rsid w:val="000910B6"/>
    <w:rsid w:val="00091526"/>
    <w:rsid w:val="00092E63"/>
    <w:rsid w:val="00093B7F"/>
    <w:rsid w:val="00093EA8"/>
    <w:rsid w:val="0009453D"/>
    <w:rsid w:val="00094A87"/>
    <w:rsid w:val="00094B80"/>
    <w:rsid w:val="00094C8D"/>
    <w:rsid w:val="000958DC"/>
    <w:rsid w:val="0009618C"/>
    <w:rsid w:val="000968ED"/>
    <w:rsid w:val="00096D20"/>
    <w:rsid w:val="00096E7A"/>
    <w:rsid w:val="0009778F"/>
    <w:rsid w:val="00097EDF"/>
    <w:rsid w:val="000A01E3"/>
    <w:rsid w:val="000A0845"/>
    <w:rsid w:val="000A132A"/>
    <w:rsid w:val="000A138B"/>
    <w:rsid w:val="000A1517"/>
    <w:rsid w:val="000A227F"/>
    <w:rsid w:val="000A2BB7"/>
    <w:rsid w:val="000A3303"/>
    <w:rsid w:val="000A36AC"/>
    <w:rsid w:val="000A3833"/>
    <w:rsid w:val="000A3A34"/>
    <w:rsid w:val="000A3A72"/>
    <w:rsid w:val="000A3AF6"/>
    <w:rsid w:val="000A3CFC"/>
    <w:rsid w:val="000A4470"/>
    <w:rsid w:val="000A4642"/>
    <w:rsid w:val="000A5783"/>
    <w:rsid w:val="000A5B34"/>
    <w:rsid w:val="000A5C36"/>
    <w:rsid w:val="000A631C"/>
    <w:rsid w:val="000A6ADF"/>
    <w:rsid w:val="000A72B0"/>
    <w:rsid w:val="000A762E"/>
    <w:rsid w:val="000A793D"/>
    <w:rsid w:val="000A7B33"/>
    <w:rsid w:val="000B0E99"/>
    <w:rsid w:val="000B1002"/>
    <w:rsid w:val="000B1075"/>
    <w:rsid w:val="000B14CC"/>
    <w:rsid w:val="000B1E8E"/>
    <w:rsid w:val="000B1EE4"/>
    <w:rsid w:val="000B29CF"/>
    <w:rsid w:val="000B36F8"/>
    <w:rsid w:val="000B3B28"/>
    <w:rsid w:val="000B43C5"/>
    <w:rsid w:val="000B4AE4"/>
    <w:rsid w:val="000B4EB6"/>
    <w:rsid w:val="000B5A67"/>
    <w:rsid w:val="000B5CD2"/>
    <w:rsid w:val="000B5D6B"/>
    <w:rsid w:val="000B6074"/>
    <w:rsid w:val="000B61E2"/>
    <w:rsid w:val="000B696F"/>
    <w:rsid w:val="000B6D78"/>
    <w:rsid w:val="000B7501"/>
    <w:rsid w:val="000B7509"/>
    <w:rsid w:val="000B7E7F"/>
    <w:rsid w:val="000C037C"/>
    <w:rsid w:val="000C0868"/>
    <w:rsid w:val="000C0CA7"/>
    <w:rsid w:val="000C0D7B"/>
    <w:rsid w:val="000C1732"/>
    <w:rsid w:val="000C1990"/>
    <w:rsid w:val="000C2298"/>
    <w:rsid w:val="000C23D7"/>
    <w:rsid w:val="000C28EA"/>
    <w:rsid w:val="000C3372"/>
    <w:rsid w:val="000C3A32"/>
    <w:rsid w:val="000C4D66"/>
    <w:rsid w:val="000C53DD"/>
    <w:rsid w:val="000C6B7F"/>
    <w:rsid w:val="000C6D5C"/>
    <w:rsid w:val="000C7693"/>
    <w:rsid w:val="000C7B66"/>
    <w:rsid w:val="000C7BE6"/>
    <w:rsid w:val="000D0DC9"/>
    <w:rsid w:val="000D10BD"/>
    <w:rsid w:val="000D13D7"/>
    <w:rsid w:val="000D15A9"/>
    <w:rsid w:val="000D1820"/>
    <w:rsid w:val="000D1AFF"/>
    <w:rsid w:val="000D1FF6"/>
    <w:rsid w:val="000D20DE"/>
    <w:rsid w:val="000D25D3"/>
    <w:rsid w:val="000D27A3"/>
    <w:rsid w:val="000D29E9"/>
    <w:rsid w:val="000D36C6"/>
    <w:rsid w:val="000D38F4"/>
    <w:rsid w:val="000D53FD"/>
    <w:rsid w:val="000D6236"/>
    <w:rsid w:val="000D67CB"/>
    <w:rsid w:val="000D6894"/>
    <w:rsid w:val="000D6982"/>
    <w:rsid w:val="000D6F0B"/>
    <w:rsid w:val="000E023F"/>
    <w:rsid w:val="000E09D0"/>
    <w:rsid w:val="000E0B9C"/>
    <w:rsid w:val="000E10C1"/>
    <w:rsid w:val="000E143D"/>
    <w:rsid w:val="000E19AA"/>
    <w:rsid w:val="000E1B19"/>
    <w:rsid w:val="000E1D21"/>
    <w:rsid w:val="000E1F84"/>
    <w:rsid w:val="000E201A"/>
    <w:rsid w:val="000E2F5B"/>
    <w:rsid w:val="000E3846"/>
    <w:rsid w:val="000E3C9F"/>
    <w:rsid w:val="000E4125"/>
    <w:rsid w:val="000E47B5"/>
    <w:rsid w:val="000E4D3F"/>
    <w:rsid w:val="000E53E0"/>
    <w:rsid w:val="000E5F64"/>
    <w:rsid w:val="000E60EF"/>
    <w:rsid w:val="000E7E61"/>
    <w:rsid w:val="000F061C"/>
    <w:rsid w:val="000F0C87"/>
    <w:rsid w:val="000F0D3B"/>
    <w:rsid w:val="000F148D"/>
    <w:rsid w:val="000F25CC"/>
    <w:rsid w:val="000F2649"/>
    <w:rsid w:val="000F3210"/>
    <w:rsid w:val="000F3235"/>
    <w:rsid w:val="000F410D"/>
    <w:rsid w:val="000F4647"/>
    <w:rsid w:val="000F4C55"/>
    <w:rsid w:val="000F4CFD"/>
    <w:rsid w:val="000F554E"/>
    <w:rsid w:val="000F596F"/>
    <w:rsid w:val="000F6404"/>
    <w:rsid w:val="000F6679"/>
    <w:rsid w:val="000F6B97"/>
    <w:rsid w:val="000F6B9B"/>
    <w:rsid w:val="000F7014"/>
    <w:rsid w:val="000F7054"/>
    <w:rsid w:val="000F75A3"/>
    <w:rsid w:val="000F7945"/>
    <w:rsid w:val="0010004B"/>
    <w:rsid w:val="00100353"/>
    <w:rsid w:val="001006E3"/>
    <w:rsid w:val="00100DD1"/>
    <w:rsid w:val="00101055"/>
    <w:rsid w:val="00101950"/>
    <w:rsid w:val="00101EC1"/>
    <w:rsid w:val="00102293"/>
    <w:rsid w:val="00102A02"/>
    <w:rsid w:val="00103099"/>
    <w:rsid w:val="0010375B"/>
    <w:rsid w:val="00103959"/>
    <w:rsid w:val="001039E8"/>
    <w:rsid w:val="00103FC7"/>
    <w:rsid w:val="00104608"/>
    <w:rsid w:val="00105298"/>
    <w:rsid w:val="001058ED"/>
    <w:rsid w:val="001060D3"/>
    <w:rsid w:val="0010659B"/>
    <w:rsid w:val="0010697F"/>
    <w:rsid w:val="001071A9"/>
    <w:rsid w:val="00107313"/>
    <w:rsid w:val="00107E8A"/>
    <w:rsid w:val="00111035"/>
    <w:rsid w:val="00111AC2"/>
    <w:rsid w:val="00111AFB"/>
    <w:rsid w:val="00111C05"/>
    <w:rsid w:val="00112B25"/>
    <w:rsid w:val="001135C6"/>
    <w:rsid w:val="001139D6"/>
    <w:rsid w:val="00113CCC"/>
    <w:rsid w:val="00113D94"/>
    <w:rsid w:val="0011415E"/>
    <w:rsid w:val="00114731"/>
    <w:rsid w:val="00114B2F"/>
    <w:rsid w:val="001151A9"/>
    <w:rsid w:val="0011615F"/>
    <w:rsid w:val="00117536"/>
    <w:rsid w:val="00117B79"/>
    <w:rsid w:val="001208DA"/>
    <w:rsid w:val="00120E60"/>
    <w:rsid w:val="00120F57"/>
    <w:rsid w:val="0012164D"/>
    <w:rsid w:val="00121B2F"/>
    <w:rsid w:val="001238BC"/>
    <w:rsid w:val="00123E84"/>
    <w:rsid w:val="00124EE3"/>
    <w:rsid w:val="001252BD"/>
    <w:rsid w:val="001254BE"/>
    <w:rsid w:val="00125841"/>
    <w:rsid w:val="00125AB4"/>
    <w:rsid w:val="00125B78"/>
    <w:rsid w:val="00125F28"/>
    <w:rsid w:val="00126074"/>
    <w:rsid w:val="00126806"/>
    <w:rsid w:val="0012691A"/>
    <w:rsid w:val="001302D3"/>
    <w:rsid w:val="0013064A"/>
    <w:rsid w:val="0013084B"/>
    <w:rsid w:val="0013084C"/>
    <w:rsid w:val="001310D0"/>
    <w:rsid w:val="00132AB0"/>
    <w:rsid w:val="00133135"/>
    <w:rsid w:val="00133EAD"/>
    <w:rsid w:val="00134F00"/>
    <w:rsid w:val="00134F3D"/>
    <w:rsid w:val="00135586"/>
    <w:rsid w:val="00135C16"/>
    <w:rsid w:val="0013628E"/>
    <w:rsid w:val="001401D3"/>
    <w:rsid w:val="00140F42"/>
    <w:rsid w:val="00142D8B"/>
    <w:rsid w:val="00143687"/>
    <w:rsid w:val="00145DA8"/>
    <w:rsid w:val="00146674"/>
    <w:rsid w:val="00146CEC"/>
    <w:rsid w:val="0014769B"/>
    <w:rsid w:val="0014797E"/>
    <w:rsid w:val="00147C0F"/>
    <w:rsid w:val="00147E80"/>
    <w:rsid w:val="00150331"/>
    <w:rsid w:val="00150525"/>
    <w:rsid w:val="00150817"/>
    <w:rsid w:val="00150884"/>
    <w:rsid w:val="001509A9"/>
    <w:rsid w:val="00150A03"/>
    <w:rsid w:val="00152841"/>
    <w:rsid w:val="00152D10"/>
    <w:rsid w:val="001532A7"/>
    <w:rsid w:val="0015386C"/>
    <w:rsid w:val="00154194"/>
    <w:rsid w:val="00154E0B"/>
    <w:rsid w:val="001563D6"/>
    <w:rsid w:val="00156473"/>
    <w:rsid w:val="00156896"/>
    <w:rsid w:val="00157036"/>
    <w:rsid w:val="00157099"/>
    <w:rsid w:val="00161695"/>
    <w:rsid w:val="00161F9A"/>
    <w:rsid w:val="001633F5"/>
    <w:rsid w:val="00163723"/>
    <w:rsid w:val="00164ADB"/>
    <w:rsid w:val="0016545F"/>
    <w:rsid w:val="001657CC"/>
    <w:rsid w:val="00165A04"/>
    <w:rsid w:val="00165F51"/>
    <w:rsid w:val="001661D6"/>
    <w:rsid w:val="0016692F"/>
    <w:rsid w:val="00166A2A"/>
    <w:rsid w:val="00166C1F"/>
    <w:rsid w:val="001706A1"/>
    <w:rsid w:val="00170876"/>
    <w:rsid w:val="001709E6"/>
    <w:rsid w:val="00170A09"/>
    <w:rsid w:val="00170D54"/>
    <w:rsid w:val="00171761"/>
    <w:rsid w:val="00171E12"/>
    <w:rsid w:val="001720FE"/>
    <w:rsid w:val="00172388"/>
    <w:rsid w:val="001743D7"/>
    <w:rsid w:val="00174C65"/>
    <w:rsid w:val="00175179"/>
    <w:rsid w:val="00175658"/>
    <w:rsid w:val="00175B9A"/>
    <w:rsid w:val="001762C6"/>
    <w:rsid w:val="001762CC"/>
    <w:rsid w:val="00176E09"/>
    <w:rsid w:val="001777BF"/>
    <w:rsid w:val="00177D1B"/>
    <w:rsid w:val="00181C48"/>
    <w:rsid w:val="00182225"/>
    <w:rsid w:val="001823B3"/>
    <w:rsid w:val="00182C7D"/>
    <w:rsid w:val="0018333A"/>
    <w:rsid w:val="0018349B"/>
    <w:rsid w:val="00183589"/>
    <w:rsid w:val="00183C63"/>
    <w:rsid w:val="00184560"/>
    <w:rsid w:val="00185282"/>
    <w:rsid w:val="001858E8"/>
    <w:rsid w:val="00186B10"/>
    <w:rsid w:val="0018787A"/>
    <w:rsid w:val="0019073A"/>
    <w:rsid w:val="001919B1"/>
    <w:rsid w:val="00192B8A"/>
    <w:rsid w:val="00192C81"/>
    <w:rsid w:val="00192ED8"/>
    <w:rsid w:val="00193595"/>
    <w:rsid w:val="00193DFD"/>
    <w:rsid w:val="00193F66"/>
    <w:rsid w:val="00194C60"/>
    <w:rsid w:val="00194CBA"/>
    <w:rsid w:val="00195BF4"/>
    <w:rsid w:val="00195E1D"/>
    <w:rsid w:val="00196629"/>
    <w:rsid w:val="001972E7"/>
    <w:rsid w:val="00197934"/>
    <w:rsid w:val="001A123C"/>
    <w:rsid w:val="001A1341"/>
    <w:rsid w:val="001A136B"/>
    <w:rsid w:val="001A1F9C"/>
    <w:rsid w:val="001A208D"/>
    <w:rsid w:val="001A2965"/>
    <w:rsid w:val="001A2AFF"/>
    <w:rsid w:val="001A2B0F"/>
    <w:rsid w:val="001A2F8D"/>
    <w:rsid w:val="001A3435"/>
    <w:rsid w:val="001A3808"/>
    <w:rsid w:val="001A4859"/>
    <w:rsid w:val="001A4E61"/>
    <w:rsid w:val="001A6802"/>
    <w:rsid w:val="001A6BB6"/>
    <w:rsid w:val="001A6FD8"/>
    <w:rsid w:val="001A702B"/>
    <w:rsid w:val="001A720C"/>
    <w:rsid w:val="001A78F4"/>
    <w:rsid w:val="001A79B6"/>
    <w:rsid w:val="001B05FB"/>
    <w:rsid w:val="001B12CC"/>
    <w:rsid w:val="001B1A1B"/>
    <w:rsid w:val="001B245A"/>
    <w:rsid w:val="001B255F"/>
    <w:rsid w:val="001B2E72"/>
    <w:rsid w:val="001B32C6"/>
    <w:rsid w:val="001B342B"/>
    <w:rsid w:val="001B352D"/>
    <w:rsid w:val="001B7528"/>
    <w:rsid w:val="001B76CB"/>
    <w:rsid w:val="001B77B7"/>
    <w:rsid w:val="001B7D5B"/>
    <w:rsid w:val="001C07F7"/>
    <w:rsid w:val="001C0C02"/>
    <w:rsid w:val="001C10F6"/>
    <w:rsid w:val="001C16A5"/>
    <w:rsid w:val="001C1A74"/>
    <w:rsid w:val="001C1B21"/>
    <w:rsid w:val="001C25B9"/>
    <w:rsid w:val="001C2842"/>
    <w:rsid w:val="001C3452"/>
    <w:rsid w:val="001C37BA"/>
    <w:rsid w:val="001C3BDC"/>
    <w:rsid w:val="001C476B"/>
    <w:rsid w:val="001C5B06"/>
    <w:rsid w:val="001C5ED8"/>
    <w:rsid w:val="001C64E5"/>
    <w:rsid w:val="001C7326"/>
    <w:rsid w:val="001C742F"/>
    <w:rsid w:val="001D0268"/>
    <w:rsid w:val="001D09D3"/>
    <w:rsid w:val="001D0CB8"/>
    <w:rsid w:val="001D1A57"/>
    <w:rsid w:val="001D2639"/>
    <w:rsid w:val="001D28A4"/>
    <w:rsid w:val="001D2D96"/>
    <w:rsid w:val="001D3913"/>
    <w:rsid w:val="001D39FB"/>
    <w:rsid w:val="001D44F4"/>
    <w:rsid w:val="001D4E38"/>
    <w:rsid w:val="001D4F42"/>
    <w:rsid w:val="001D51BE"/>
    <w:rsid w:val="001D5402"/>
    <w:rsid w:val="001D56D0"/>
    <w:rsid w:val="001D5D8C"/>
    <w:rsid w:val="001D62D3"/>
    <w:rsid w:val="001D641D"/>
    <w:rsid w:val="001D6774"/>
    <w:rsid w:val="001D67D5"/>
    <w:rsid w:val="001D75A6"/>
    <w:rsid w:val="001D7D72"/>
    <w:rsid w:val="001E0087"/>
    <w:rsid w:val="001E092F"/>
    <w:rsid w:val="001E0CEB"/>
    <w:rsid w:val="001E0D7B"/>
    <w:rsid w:val="001E322C"/>
    <w:rsid w:val="001E33E2"/>
    <w:rsid w:val="001E375B"/>
    <w:rsid w:val="001E3916"/>
    <w:rsid w:val="001E40AA"/>
    <w:rsid w:val="001E46F8"/>
    <w:rsid w:val="001E4C76"/>
    <w:rsid w:val="001E4F09"/>
    <w:rsid w:val="001E4F3F"/>
    <w:rsid w:val="001E5EED"/>
    <w:rsid w:val="001E6262"/>
    <w:rsid w:val="001E6A68"/>
    <w:rsid w:val="001E7802"/>
    <w:rsid w:val="001E79FC"/>
    <w:rsid w:val="001E7CEF"/>
    <w:rsid w:val="001F07F4"/>
    <w:rsid w:val="001F0BCF"/>
    <w:rsid w:val="001F20DE"/>
    <w:rsid w:val="001F328A"/>
    <w:rsid w:val="001F3449"/>
    <w:rsid w:val="001F3A93"/>
    <w:rsid w:val="001F436A"/>
    <w:rsid w:val="001F465C"/>
    <w:rsid w:val="001F5B75"/>
    <w:rsid w:val="001F5EC7"/>
    <w:rsid w:val="001F7378"/>
    <w:rsid w:val="001F7671"/>
    <w:rsid w:val="001F78A2"/>
    <w:rsid w:val="001F78B0"/>
    <w:rsid w:val="001F79AB"/>
    <w:rsid w:val="001F7D7F"/>
    <w:rsid w:val="00200FCB"/>
    <w:rsid w:val="00201C32"/>
    <w:rsid w:val="00202065"/>
    <w:rsid w:val="00202A3C"/>
    <w:rsid w:val="0020314E"/>
    <w:rsid w:val="00203597"/>
    <w:rsid w:val="00204097"/>
    <w:rsid w:val="002040CD"/>
    <w:rsid w:val="002047C0"/>
    <w:rsid w:val="002050C9"/>
    <w:rsid w:val="00205190"/>
    <w:rsid w:val="00205994"/>
    <w:rsid w:val="00206427"/>
    <w:rsid w:val="00206783"/>
    <w:rsid w:val="002071EB"/>
    <w:rsid w:val="002075DA"/>
    <w:rsid w:val="00211CF6"/>
    <w:rsid w:val="00212269"/>
    <w:rsid w:val="002122D8"/>
    <w:rsid w:val="00212A7A"/>
    <w:rsid w:val="0021319B"/>
    <w:rsid w:val="00213750"/>
    <w:rsid w:val="00213DC0"/>
    <w:rsid w:val="0021432C"/>
    <w:rsid w:val="00214DA7"/>
    <w:rsid w:val="00215083"/>
    <w:rsid w:val="0021564E"/>
    <w:rsid w:val="002160D2"/>
    <w:rsid w:val="0021671F"/>
    <w:rsid w:val="00216811"/>
    <w:rsid w:val="00217355"/>
    <w:rsid w:val="002173DB"/>
    <w:rsid w:val="0022015A"/>
    <w:rsid w:val="002202F7"/>
    <w:rsid w:val="0022096D"/>
    <w:rsid w:val="00220AC7"/>
    <w:rsid w:val="00220BBE"/>
    <w:rsid w:val="00221CBD"/>
    <w:rsid w:val="00221EB4"/>
    <w:rsid w:val="00223242"/>
    <w:rsid w:val="00223265"/>
    <w:rsid w:val="00224058"/>
    <w:rsid w:val="00225099"/>
    <w:rsid w:val="0022555B"/>
    <w:rsid w:val="002256C6"/>
    <w:rsid w:val="0022587C"/>
    <w:rsid w:val="00226A13"/>
    <w:rsid w:val="00226AB0"/>
    <w:rsid w:val="00227CF5"/>
    <w:rsid w:val="00227D9D"/>
    <w:rsid w:val="00230591"/>
    <w:rsid w:val="002305D1"/>
    <w:rsid w:val="002314F2"/>
    <w:rsid w:val="00231A96"/>
    <w:rsid w:val="00231B00"/>
    <w:rsid w:val="00231C4B"/>
    <w:rsid w:val="002325B3"/>
    <w:rsid w:val="0023269C"/>
    <w:rsid w:val="00232E87"/>
    <w:rsid w:val="00232E9A"/>
    <w:rsid w:val="002338C5"/>
    <w:rsid w:val="00233C89"/>
    <w:rsid w:val="00234694"/>
    <w:rsid w:val="00235766"/>
    <w:rsid w:val="002358B6"/>
    <w:rsid w:val="00236BEA"/>
    <w:rsid w:val="0023734D"/>
    <w:rsid w:val="00237FC9"/>
    <w:rsid w:val="002400EE"/>
    <w:rsid w:val="00240316"/>
    <w:rsid w:val="00240FEA"/>
    <w:rsid w:val="00241076"/>
    <w:rsid w:val="002416BF"/>
    <w:rsid w:val="002417F3"/>
    <w:rsid w:val="002432E6"/>
    <w:rsid w:val="002437B5"/>
    <w:rsid w:val="00244002"/>
    <w:rsid w:val="00244261"/>
    <w:rsid w:val="00244843"/>
    <w:rsid w:val="00244C55"/>
    <w:rsid w:val="00245140"/>
    <w:rsid w:val="0024514A"/>
    <w:rsid w:val="00245CA2"/>
    <w:rsid w:val="00245E3F"/>
    <w:rsid w:val="00246EEA"/>
    <w:rsid w:val="0024703C"/>
    <w:rsid w:val="00247D92"/>
    <w:rsid w:val="002502A0"/>
    <w:rsid w:val="00250466"/>
    <w:rsid w:val="0025105F"/>
    <w:rsid w:val="002512C5"/>
    <w:rsid w:val="0025160C"/>
    <w:rsid w:val="00251F30"/>
    <w:rsid w:val="00252238"/>
    <w:rsid w:val="002523CB"/>
    <w:rsid w:val="002525E4"/>
    <w:rsid w:val="00253DD6"/>
    <w:rsid w:val="002542A4"/>
    <w:rsid w:val="0025451E"/>
    <w:rsid w:val="00254879"/>
    <w:rsid w:val="00254E12"/>
    <w:rsid w:val="002557F8"/>
    <w:rsid w:val="00256D9D"/>
    <w:rsid w:val="002572E9"/>
    <w:rsid w:val="00257B09"/>
    <w:rsid w:val="0026001E"/>
    <w:rsid w:val="002612C9"/>
    <w:rsid w:val="0026188C"/>
    <w:rsid w:val="00261950"/>
    <w:rsid w:val="00261BB1"/>
    <w:rsid w:val="0026265A"/>
    <w:rsid w:val="0026287B"/>
    <w:rsid w:val="00262E00"/>
    <w:rsid w:val="00262EE3"/>
    <w:rsid w:val="00263085"/>
    <w:rsid w:val="00264590"/>
    <w:rsid w:val="00264687"/>
    <w:rsid w:val="00264BFF"/>
    <w:rsid w:val="002650ED"/>
    <w:rsid w:val="002654FF"/>
    <w:rsid w:val="00265B06"/>
    <w:rsid w:val="002672C1"/>
    <w:rsid w:val="00267406"/>
    <w:rsid w:val="002715AB"/>
    <w:rsid w:val="002715F6"/>
    <w:rsid w:val="0027266D"/>
    <w:rsid w:val="00272C8F"/>
    <w:rsid w:val="002737B5"/>
    <w:rsid w:val="002743FF"/>
    <w:rsid w:val="002745F9"/>
    <w:rsid w:val="0027497F"/>
    <w:rsid w:val="0027568B"/>
    <w:rsid w:val="002766AF"/>
    <w:rsid w:val="002766C2"/>
    <w:rsid w:val="00276889"/>
    <w:rsid w:val="00276A7C"/>
    <w:rsid w:val="00276CA5"/>
    <w:rsid w:val="00277F3C"/>
    <w:rsid w:val="002801CA"/>
    <w:rsid w:val="00281122"/>
    <w:rsid w:val="002811AF"/>
    <w:rsid w:val="00281D36"/>
    <w:rsid w:val="00282227"/>
    <w:rsid w:val="00283C1A"/>
    <w:rsid w:val="00285091"/>
    <w:rsid w:val="00285CE5"/>
    <w:rsid w:val="00286C67"/>
    <w:rsid w:val="002875D1"/>
    <w:rsid w:val="002879AC"/>
    <w:rsid w:val="00290D89"/>
    <w:rsid w:val="00290E2D"/>
    <w:rsid w:val="00290F1F"/>
    <w:rsid w:val="00291187"/>
    <w:rsid w:val="00291362"/>
    <w:rsid w:val="002917D3"/>
    <w:rsid w:val="00291BE0"/>
    <w:rsid w:val="002925D3"/>
    <w:rsid w:val="00292711"/>
    <w:rsid w:val="00292CFB"/>
    <w:rsid w:val="00293CE0"/>
    <w:rsid w:val="00294C1C"/>
    <w:rsid w:val="00295984"/>
    <w:rsid w:val="00295DD5"/>
    <w:rsid w:val="002961C4"/>
    <w:rsid w:val="0029660E"/>
    <w:rsid w:val="00296641"/>
    <w:rsid w:val="002968FF"/>
    <w:rsid w:val="00296CE6"/>
    <w:rsid w:val="002979FD"/>
    <w:rsid w:val="002A0159"/>
    <w:rsid w:val="002A0231"/>
    <w:rsid w:val="002A073B"/>
    <w:rsid w:val="002A1163"/>
    <w:rsid w:val="002A214C"/>
    <w:rsid w:val="002A2265"/>
    <w:rsid w:val="002A25D7"/>
    <w:rsid w:val="002A2970"/>
    <w:rsid w:val="002A325A"/>
    <w:rsid w:val="002A3763"/>
    <w:rsid w:val="002A4197"/>
    <w:rsid w:val="002A4326"/>
    <w:rsid w:val="002A4493"/>
    <w:rsid w:val="002A4D0C"/>
    <w:rsid w:val="002A6157"/>
    <w:rsid w:val="002A61D3"/>
    <w:rsid w:val="002A6512"/>
    <w:rsid w:val="002A672B"/>
    <w:rsid w:val="002A6BD5"/>
    <w:rsid w:val="002A78CC"/>
    <w:rsid w:val="002A7975"/>
    <w:rsid w:val="002A7BC1"/>
    <w:rsid w:val="002B0566"/>
    <w:rsid w:val="002B13C4"/>
    <w:rsid w:val="002B1EC6"/>
    <w:rsid w:val="002B2FA7"/>
    <w:rsid w:val="002B3005"/>
    <w:rsid w:val="002B3B1C"/>
    <w:rsid w:val="002B3CF5"/>
    <w:rsid w:val="002B496C"/>
    <w:rsid w:val="002B4EDF"/>
    <w:rsid w:val="002B52CC"/>
    <w:rsid w:val="002B54B8"/>
    <w:rsid w:val="002B5C50"/>
    <w:rsid w:val="002B6032"/>
    <w:rsid w:val="002B66C7"/>
    <w:rsid w:val="002B69D8"/>
    <w:rsid w:val="002C023C"/>
    <w:rsid w:val="002C0A75"/>
    <w:rsid w:val="002C24F7"/>
    <w:rsid w:val="002C2948"/>
    <w:rsid w:val="002C2E0A"/>
    <w:rsid w:val="002C3231"/>
    <w:rsid w:val="002C3382"/>
    <w:rsid w:val="002C338C"/>
    <w:rsid w:val="002C4459"/>
    <w:rsid w:val="002C498A"/>
    <w:rsid w:val="002C500C"/>
    <w:rsid w:val="002C51CD"/>
    <w:rsid w:val="002C5D77"/>
    <w:rsid w:val="002C68CC"/>
    <w:rsid w:val="002C6E52"/>
    <w:rsid w:val="002C7104"/>
    <w:rsid w:val="002C7245"/>
    <w:rsid w:val="002C72F6"/>
    <w:rsid w:val="002C7741"/>
    <w:rsid w:val="002D0491"/>
    <w:rsid w:val="002D0EB8"/>
    <w:rsid w:val="002D1984"/>
    <w:rsid w:val="002D2331"/>
    <w:rsid w:val="002D254A"/>
    <w:rsid w:val="002D2788"/>
    <w:rsid w:val="002D48EE"/>
    <w:rsid w:val="002D4C4A"/>
    <w:rsid w:val="002D56E2"/>
    <w:rsid w:val="002D7424"/>
    <w:rsid w:val="002D7508"/>
    <w:rsid w:val="002D795B"/>
    <w:rsid w:val="002D7A8E"/>
    <w:rsid w:val="002D7ABB"/>
    <w:rsid w:val="002E0118"/>
    <w:rsid w:val="002E011C"/>
    <w:rsid w:val="002E0178"/>
    <w:rsid w:val="002E073B"/>
    <w:rsid w:val="002E0FCA"/>
    <w:rsid w:val="002E13FD"/>
    <w:rsid w:val="002E266F"/>
    <w:rsid w:val="002E3831"/>
    <w:rsid w:val="002E4030"/>
    <w:rsid w:val="002E42F8"/>
    <w:rsid w:val="002E44B3"/>
    <w:rsid w:val="002E4A4E"/>
    <w:rsid w:val="002E4ED0"/>
    <w:rsid w:val="002E5D8F"/>
    <w:rsid w:val="002E6E4F"/>
    <w:rsid w:val="002E736D"/>
    <w:rsid w:val="002E73C3"/>
    <w:rsid w:val="002E7E0E"/>
    <w:rsid w:val="002E7F50"/>
    <w:rsid w:val="002F0342"/>
    <w:rsid w:val="002F1674"/>
    <w:rsid w:val="002F1D6D"/>
    <w:rsid w:val="002F208F"/>
    <w:rsid w:val="002F225B"/>
    <w:rsid w:val="002F236D"/>
    <w:rsid w:val="002F2DCE"/>
    <w:rsid w:val="002F4167"/>
    <w:rsid w:val="002F6CC6"/>
    <w:rsid w:val="002F6EC4"/>
    <w:rsid w:val="00300550"/>
    <w:rsid w:val="00300AF5"/>
    <w:rsid w:val="00300C1A"/>
    <w:rsid w:val="00301632"/>
    <w:rsid w:val="00301927"/>
    <w:rsid w:val="003029A8"/>
    <w:rsid w:val="00302FE7"/>
    <w:rsid w:val="003039FC"/>
    <w:rsid w:val="00303DB3"/>
    <w:rsid w:val="00305CD1"/>
    <w:rsid w:val="00305FC7"/>
    <w:rsid w:val="0030630B"/>
    <w:rsid w:val="0030630D"/>
    <w:rsid w:val="00306868"/>
    <w:rsid w:val="00306A95"/>
    <w:rsid w:val="00306F28"/>
    <w:rsid w:val="0030701E"/>
    <w:rsid w:val="003111F4"/>
    <w:rsid w:val="003115E1"/>
    <w:rsid w:val="00311806"/>
    <w:rsid w:val="00311C9A"/>
    <w:rsid w:val="00312840"/>
    <w:rsid w:val="0031369C"/>
    <w:rsid w:val="003138D4"/>
    <w:rsid w:val="003138D5"/>
    <w:rsid w:val="00314917"/>
    <w:rsid w:val="00314E78"/>
    <w:rsid w:val="00315346"/>
    <w:rsid w:val="003154A7"/>
    <w:rsid w:val="00315B9E"/>
    <w:rsid w:val="00315DE5"/>
    <w:rsid w:val="003163AB"/>
    <w:rsid w:val="0031644E"/>
    <w:rsid w:val="0031649E"/>
    <w:rsid w:val="00316567"/>
    <w:rsid w:val="00320983"/>
    <w:rsid w:val="00320AEE"/>
    <w:rsid w:val="003219A5"/>
    <w:rsid w:val="00321BC1"/>
    <w:rsid w:val="00321C27"/>
    <w:rsid w:val="00321DDE"/>
    <w:rsid w:val="00321E7E"/>
    <w:rsid w:val="003226B2"/>
    <w:rsid w:val="00322735"/>
    <w:rsid w:val="00322B1E"/>
    <w:rsid w:val="00322D5D"/>
    <w:rsid w:val="00322EA5"/>
    <w:rsid w:val="00323981"/>
    <w:rsid w:val="00323EB2"/>
    <w:rsid w:val="00325E6D"/>
    <w:rsid w:val="00325FDD"/>
    <w:rsid w:val="00325FFC"/>
    <w:rsid w:val="00326001"/>
    <w:rsid w:val="0032618C"/>
    <w:rsid w:val="00326792"/>
    <w:rsid w:val="003269DE"/>
    <w:rsid w:val="003279F8"/>
    <w:rsid w:val="003309D5"/>
    <w:rsid w:val="003314C0"/>
    <w:rsid w:val="00331629"/>
    <w:rsid w:val="00331D03"/>
    <w:rsid w:val="00331E07"/>
    <w:rsid w:val="0033201F"/>
    <w:rsid w:val="0033214B"/>
    <w:rsid w:val="00332AA3"/>
    <w:rsid w:val="00332CFA"/>
    <w:rsid w:val="003338CC"/>
    <w:rsid w:val="00334DF1"/>
    <w:rsid w:val="003358A0"/>
    <w:rsid w:val="00335C02"/>
    <w:rsid w:val="00335D3E"/>
    <w:rsid w:val="00337594"/>
    <w:rsid w:val="00337646"/>
    <w:rsid w:val="003403AB"/>
    <w:rsid w:val="003409F7"/>
    <w:rsid w:val="00340A2B"/>
    <w:rsid w:val="00341003"/>
    <w:rsid w:val="003416E2"/>
    <w:rsid w:val="003420FA"/>
    <w:rsid w:val="0034251E"/>
    <w:rsid w:val="00342FF0"/>
    <w:rsid w:val="00343149"/>
    <w:rsid w:val="003432BA"/>
    <w:rsid w:val="0034351C"/>
    <w:rsid w:val="00343A56"/>
    <w:rsid w:val="00343C46"/>
    <w:rsid w:val="00344050"/>
    <w:rsid w:val="003456B5"/>
    <w:rsid w:val="00345D4E"/>
    <w:rsid w:val="003467B1"/>
    <w:rsid w:val="00346855"/>
    <w:rsid w:val="00346B64"/>
    <w:rsid w:val="00347831"/>
    <w:rsid w:val="003479E0"/>
    <w:rsid w:val="003505F0"/>
    <w:rsid w:val="003508F9"/>
    <w:rsid w:val="0035095A"/>
    <w:rsid w:val="00350AC1"/>
    <w:rsid w:val="00350AF2"/>
    <w:rsid w:val="00352C22"/>
    <w:rsid w:val="00352C7C"/>
    <w:rsid w:val="00352E92"/>
    <w:rsid w:val="00353E0F"/>
    <w:rsid w:val="00354994"/>
    <w:rsid w:val="00354E50"/>
    <w:rsid w:val="00355C72"/>
    <w:rsid w:val="003563A4"/>
    <w:rsid w:val="00356962"/>
    <w:rsid w:val="00357C0B"/>
    <w:rsid w:val="00357C62"/>
    <w:rsid w:val="003602F9"/>
    <w:rsid w:val="0036033F"/>
    <w:rsid w:val="003609AC"/>
    <w:rsid w:val="003609C6"/>
    <w:rsid w:val="00360EBC"/>
    <w:rsid w:val="00361062"/>
    <w:rsid w:val="003615AC"/>
    <w:rsid w:val="00361C29"/>
    <w:rsid w:val="00361C41"/>
    <w:rsid w:val="00361CD4"/>
    <w:rsid w:val="00361E94"/>
    <w:rsid w:val="00363BCA"/>
    <w:rsid w:val="00363F46"/>
    <w:rsid w:val="00364506"/>
    <w:rsid w:val="00364E9B"/>
    <w:rsid w:val="0036519F"/>
    <w:rsid w:val="00365B65"/>
    <w:rsid w:val="0036646E"/>
    <w:rsid w:val="00366E0B"/>
    <w:rsid w:val="003677C6"/>
    <w:rsid w:val="00367B15"/>
    <w:rsid w:val="003701EA"/>
    <w:rsid w:val="0037025E"/>
    <w:rsid w:val="00371A91"/>
    <w:rsid w:val="0037243A"/>
    <w:rsid w:val="003726F4"/>
    <w:rsid w:val="00372E5F"/>
    <w:rsid w:val="003741F4"/>
    <w:rsid w:val="00374536"/>
    <w:rsid w:val="003749F4"/>
    <w:rsid w:val="00375270"/>
    <w:rsid w:val="0037528D"/>
    <w:rsid w:val="00375324"/>
    <w:rsid w:val="0037555A"/>
    <w:rsid w:val="003756DF"/>
    <w:rsid w:val="003758D7"/>
    <w:rsid w:val="00380093"/>
    <w:rsid w:val="00380D30"/>
    <w:rsid w:val="00380E83"/>
    <w:rsid w:val="003810F8"/>
    <w:rsid w:val="0038128F"/>
    <w:rsid w:val="003817BE"/>
    <w:rsid w:val="00381A4F"/>
    <w:rsid w:val="00381EF2"/>
    <w:rsid w:val="00382F9F"/>
    <w:rsid w:val="003839F2"/>
    <w:rsid w:val="00384BBF"/>
    <w:rsid w:val="00384FE3"/>
    <w:rsid w:val="003858E0"/>
    <w:rsid w:val="00386E74"/>
    <w:rsid w:val="00386E86"/>
    <w:rsid w:val="003873F6"/>
    <w:rsid w:val="00387459"/>
    <w:rsid w:val="00387D9E"/>
    <w:rsid w:val="00387E17"/>
    <w:rsid w:val="0039205F"/>
    <w:rsid w:val="003921F0"/>
    <w:rsid w:val="0039235B"/>
    <w:rsid w:val="00392891"/>
    <w:rsid w:val="003928E6"/>
    <w:rsid w:val="00392E8A"/>
    <w:rsid w:val="0039357E"/>
    <w:rsid w:val="00393861"/>
    <w:rsid w:val="003944B4"/>
    <w:rsid w:val="00394F8C"/>
    <w:rsid w:val="00395E38"/>
    <w:rsid w:val="0039725A"/>
    <w:rsid w:val="00397271"/>
    <w:rsid w:val="003972C5"/>
    <w:rsid w:val="003975CB"/>
    <w:rsid w:val="0039780A"/>
    <w:rsid w:val="003A0033"/>
    <w:rsid w:val="003A14F6"/>
    <w:rsid w:val="003A1AC1"/>
    <w:rsid w:val="003A2CB0"/>
    <w:rsid w:val="003A353C"/>
    <w:rsid w:val="003A50E5"/>
    <w:rsid w:val="003A50E9"/>
    <w:rsid w:val="003A5BB0"/>
    <w:rsid w:val="003A6634"/>
    <w:rsid w:val="003A6EE1"/>
    <w:rsid w:val="003B17FC"/>
    <w:rsid w:val="003B1BC4"/>
    <w:rsid w:val="003B203C"/>
    <w:rsid w:val="003B2C11"/>
    <w:rsid w:val="003B2E42"/>
    <w:rsid w:val="003B2EFD"/>
    <w:rsid w:val="003B3363"/>
    <w:rsid w:val="003B3370"/>
    <w:rsid w:val="003B4181"/>
    <w:rsid w:val="003B4749"/>
    <w:rsid w:val="003B4941"/>
    <w:rsid w:val="003B4CA6"/>
    <w:rsid w:val="003B5713"/>
    <w:rsid w:val="003B5B59"/>
    <w:rsid w:val="003B5D02"/>
    <w:rsid w:val="003B5E5E"/>
    <w:rsid w:val="003B7324"/>
    <w:rsid w:val="003C0654"/>
    <w:rsid w:val="003C068C"/>
    <w:rsid w:val="003C0C59"/>
    <w:rsid w:val="003C0DB8"/>
    <w:rsid w:val="003C14C5"/>
    <w:rsid w:val="003C1732"/>
    <w:rsid w:val="003C2065"/>
    <w:rsid w:val="003C224D"/>
    <w:rsid w:val="003C27E0"/>
    <w:rsid w:val="003C368A"/>
    <w:rsid w:val="003C4BE4"/>
    <w:rsid w:val="003C6816"/>
    <w:rsid w:val="003C6E11"/>
    <w:rsid w:val="003C7354"/>
    <w:rsid w:val="003C7491"/>
    <w:rsid w:val="003C7B01"/>
    <w:rsid w:val="003D0090"/>
    <w:rsid w:val="003D0503"/>
    <w:rsid w:val="003D0DFC"/>
    <w:rsid w:val="003D1DE9"/>
    <w:rsid w:val="003D1F19"/>
    <w:rsid w:val="003D22F5"/>
    <w:rsid w:val="003D2C82"/>
    <w:rsid w:val="003D429A"/>
    <w:rsid w:val="003D441C"/>
    <w:rsid w:val="003D4704"/>
    <w:rsid w:val="003D5B3B"/>
    <w:rsid w:val="003D5FBA"/>
    <w:rsid w:val="003D6519"/>
    <w:rsid w:val="003D680D"/>
    <w:rsid w:val="003D6987"/>
    <w:rsid w:val="003D715F"/>
    <w:rsid w:val="003D7B00"/>
    <w:rsid w:val="003E2025"/>
    <w:rsid w:val="003E2F7E"/>
    <w:rsid w:val="003E30D1"/>
    <w:rsid w:val="003E3364"/>
    <w:rsid w:val="003E4C12"/>
    <w:rsid w:val="003E5E7F"/>
    <w:rsid w:val="003E6382"/>
    <w:rsid w:val="003E678C"/>
    <w:rsid w:val="003E7B23"/>
    <w:rsid w:val="003F10E1"/>
    <w:rsid w:val="003F14F0"/>
    <w:rsid w:val="003F24A2"/>
    <w:rsid w:val="003F431B"/>
    <w:rsid w:val="003F44BD"/>
    <w:rsid w:val="003F48A5"/>
    <w:rsid w:val="003F540B"/>
    <w:rsid w:val="003F547F"/>
    <w:rsid w:val="003F5BED"/>
    <w:rsid w:val="003F5D84"/>
    <w:rsid w:val="003F658D"/>
    <w:rsid w:val="003F6F7D"/>
    <w:rsid w:val="003F6FF5"/>
    <w:rsid w:val="003F7D7D"/>
    <w:rsid w:val="004019E8"/>
    <w:rsid w:val="0040200F"/>
    <w:rsid w:val="00402358"/>
    <w:rsid w:val="00403021"/>
    <w:rsid w:val="0040334E"/>
    <w:rsid w:val="0040376B"/>
    <w:rsid w:val="00403A01"/>
    <w:rsid w:val="00403BB2"/>
    <w:rsid w:val="00403EE8"/>
    <w:rsid w:val="00403FA9"/>
    <w:rsid w:val="004046C8"/>
    <w:rsid w:val="004062B5"/>
    <w:rsid w:val="004071FB"/>
    <w:rsid w:val="00407CB3"/>
    <w:rsid w:val="0041075E"/>
    <w:rsid w:val="004107AC"/>
    <w:rsid w:val="0041088E"/>
    <w:rsid w:val="004109BB"/>
    <w:rsid w:val="00411DFD"/>
    <w:rsid w:val="00411EE4"/>
    <w:rsid w:val="004126C8"/>
    <w:rsid w:val="004153B0"/>
    <w:rsid w:val="00415475"/>
    <w:rsid w:val="00415AE1"/>
    <w:rsid w:val="004161DE"/>
    <w:rsid w:val="0041630E"/>
    <w:rsid w:val="00416CDE"/>
    <w:rsid w:val="00416F53"/>
    <w:rsid w:val="00417393"/>
    <w:rsid w:val="004175B9"/>
    <w:rsid w:val="00417956"/>
    <w:rsid w:val="00420DFB"/>
    <w:rsid w:val="00421A03"/>
    <w:rsid w:val="00421A7F"/>
    <w:rsid w:val="00421CDE"/>
    <w:rsid w:val="00421CEE"/>
    <w:rsid w:val="00421D0D"/>
    <w:rsid w:val="0042222E"/>
    <w:rsid w:val="004228AB"/>
    <w:rsid w:val="004247D6"/>
    <w:rsid w:val="00424AFC"/>
    <w:rsid w:val="00425048"/>
    <w:rsid w:val="00425467"/>
    <w:rsid w:val="00426AFA"/>
    <w:rsid w:val="00426BC5"/>
    <w:rsid w:val="00427067"/>
    <w:rsid w:val="004310A8"/>
    <w:rsid w:val="00431425"/>
    <w:rsid w:val="004314E4"/>
    <w:rsid w:val="004320B4"/>
    <w:rsid w:val="00432E26"/>
    <w:rsid w:val="00433A01"/>
    <w:rsid w:val="00433A5E"/>
    <w:rsid w:val="00433D9A"/>
    <w:rsid w:val="00433E34"/>
    <w:rsid w:val="0043409D"/>
    <w:rsid w:val="00434DFA"/>
    <w:rsid w:val="00434F08"/>
    <w:rsid w:val="00435B51"/>
    <w:rsid w:val="00435ED2"/>
    <w:rsid w:val="0043622A"/>
    <w:rsid w:val="004362B8"/>
    <w:rsid w:val="004368D4"/>
    <w:rsid w:val="004370A6"/>
    <w:rsid w:val="0043785D"/>
    <w:rsid w:val="00437E73"/>
    <w:rsid w:val="0044065C"/>
    <w:rsid w:val="0044089A"/>
    <w:rsid w:val="00441468"/>
    <w:rsid w:val="00441739"/>
    <w:rsid w:val="00441A0E"/>
    <w:rsid w:val="00441E95"/>
    <w:rsid w:val="0044276C"/>
    <w:rsid w:val="00442952"/>
    <w:rsid w:val="00443900"/>
    <w:rsid w:val="00444219"/>
    <w:rsid w:val="00444691"/>
    <w:rsid w:val="00444858"/>
    <w:rsid w:val="004449DD"/>
    <w:rsid w:val="00444D27"/>
    <w:rsid w:val="004451B6"/>
    <w:rsid w:val="0044563A"/>
    <w:rsid w:val="00445CC5"/>
    <w:rsid w:val="00446B98"/>
    <w:rsid w:val="0045024B"/>
    <w:rsid w:val="0045113F"/>
    <w:rsid w:val="00451AA0"/>
    <w:rsid w:val="00452560"/>
    <w:rsid w:val="004532A3"/>
    <w:rsid w:val="00454388"/>
    <w:rsid w:val="004545C3"/>
    <w:rsid w:val="00455A4B"/>
    <w:rsid w:val="00455DD1"/>
    <w:rsid w:val="00456288"/>
    <w:rsid w:val="004565B5"/>
    <w:rsid w:val="00457CED"/>
    <w:rsid w:val="00457CFD"/>
    <w:rsid w:val="004606BE"/>
    <w:rsid w:val="00460BC4"/>
    <w:rsid w:val="00461250"/>
    <w:rsid w:val="004614EE"/>
    <w:rsid w:val="00461E00"/>
    <w:rsid w:val="00462A06"/>
    <w:rsid w:val="00463C6A"/>
    <w:rsid w:val="00463EC0"/>
    <w:rsid w:val="004642A9"/>
    <w:rsid w:val="00464B81"/>
    <w:rsid w:val="00464E1A"/>
    <w:rsid w:val="00465110"/>
    <w:rsid w:val="004652DC"/>
    <w:rsid w:val="00465E4C"/>
    <w:rsid w:val="0046626D"/>
    <w:rsid w:val="00466F2E"/>
    <w:rsid w:val="00466FCD"/>
    <w:rsid w:val="00467F1A"/>
    <w:rsid w:val="0047151F"/>
    <w:rsid w:val="00471757"/>
    <w:rsid w:val="00471A1B"/>
    <w:rsid w:val="00471CAA"/>
    <w:rsid w:val="00471CD0"/>
    <w:rsid w:val="00471E7E"/>
    <w:rsid w:val="0047273C"/>
    <w:rsid w:val="00472EE5"/>
    <w:rsid w:val="00473002"/>
    <w:rsid w:val="00473C88"/>
    <w:rsid w:val="004742E8"/>
    <w:rsid w:val="00474321"/>
    <w:rsid w:val="00475259"/>
    <w:rsid w:val="004755C4"/>
    <w:rsid w:val="004759CB"/>
    <w:rsid w:val="00475CA8"/>
    <w:rsid w:val="00476381"/>
    <w:rsid w:val="004772C4"/>
    <w:rsid w:val="00477C1E"/>
    <w:rsid w:val="00477D08"/>
    <w:rsid w:val="004801C8"/>
    <w:rsid w:val="004801D8"/>
    <w:rsid w:val="00480929"/>
    <w:rsid w:val="00480A4E"/>
    <w:rsid w:val="00482214"/>
    <w:rsid w:val="004829D8"/>
    <w:rsid w:val="00482EAE"/>
    <w:rsid w:val="00484781"/>
    <w:rsid w:val="00484805"/>
    <w:rsid w:val="00485E20"/>
    <w:rsid w:val="00486782"/>
    <w:rsid w:val="00486E58"/>
    <w:rsid w:val="0048730D"/>
    <w:rsid w:val="00487A35"/>
    <w:rsid w:val="00487E68"/>
    <w:rsid w:val="004906D8"/>
    <w:rsid w:val="00491411"/>
    <w:rsid w:val="004916B6"/>
    <w:rsid w:val="004918E2"/>
    <w:rsid w:val="00491D91"/>
    <w:rsid w:val="00492139"/>
    <w:rsid w:val="004923EE"/>
    <w:rsid w:val="004923F6"/>
    <w:rsid w:val="0049258B"/>
    <w:rsid w:val="00492935"/>
    <w:rsid w:val="00492DC9"/>
    <w:rsid w:val="00494377"/>
    <w:rsid w:val="00495D98"/>
    <w:rsid w:val="00496A5A"/>
    <w:rsid w:val="00496AA5"/>
    <w:rsid w:val="00496C90"/>
    <w:rsid w:val="00497160"/>
    <w:rsid w:val="0049732A"/>
    <w:rsid w:val="004A064B"/>
    <w:rsid w:val="004A1E03"/>
    <w:rsid w:val="004A25F6"/>
    <w:rsid w:val="004A401C"/>
    <w:rsid w:val="004A49C0"/>
    <w:rsid w:val="004A5251"/>
    <w:rsid w:val="004A55CF"/>
    <w:rsid w:val="004A5A42"/>
    <w:rsid w:val="004A637B"/>
    <w:rsid w:val="004A6FD2"/>
    <w:rsid w:val="004B02E8"/>
    <w:rsid w:val="004B04E3"/>
    <w:rsid w:val="004B1643"/>
    <w:rsid w:val="004B18BE"/>
    <w:rsid w:val="004B24A6"/>
    <w:rsid w:val="004B25A6"/>
    <w:rsid w:val="004B29AB"/>
    <w:rsid w:val="004B4C22"/>
    <w:rsid w:val="004B50D1"/>
    <w:rsid w:val="004B5150"/>
    <w:rsid w:val="004B575C"/>
    <w:rsid w:val="004B66DE"/>
    <w:rsid w:val="004C0332"/>
    <w:rsid w:val="004C0DEC"/>
    <w:rsid w:val="004C0F5A"/>
    <w:rsid w:val="004C1620"/>
    <w:rsid w:val="004C17F5"/>
    <w:rsid w:val="004C19D4"/>
    <w:rsid w:val="004C1B31"/>
    <w:rsid w:val="004C1ECF"/>
    <w:rsid w:val="004C2780"/>
    <w:rsid w:val="004C2844"/>
    <w:rsid w:val="004C3A16"/>
    <w:rsid w:val="004C3BCB"/>
    <w:rsid w:val="004C3CA7"/>
    <w:rsid w:val="004C5136"/>
    <w:rsid w:val="004C5193"/>
    <w:rsid w:val="004C5E5F"/>
    <w:rsid w:val="004C6173"/>
    <w:rsid w:val="004C6238"/>
    <w:rsid w:val="004C6911"/>
    <w:rsid w:val="004C747A"/>
    <w:rsid w:val="004D1430"/>
    <w:rsid w:val="004D1F4B"/>
    <w:rsid w:val="004D276A"/>
    <w:rsid w:val="004D2E31"/>
    <w:rsid w:val="004D3E8B"/>
    <w:rsid w:val="004D486C"/>
    <w:rsid w:val="004D7708"/>
    <w:rsid w:val="004D7C78"/>
    <w:rsid w:val="004E1E06"/>
    <w:rsid w:val="004E1EF3"/>
    <w:rsid w:val="004E2150"/>
    <w:rsid w:val="004E3315"/>
    <w:rsid w:val="004E3919"/>
    <w:rsid w:val="004E39A3"/>
    <w:rsid w:val="004E3BCF"/>
    <w:rsid w:val="004E42E5"/>
    <w:rsid w:val="004E45B9"/>
    <w:rsid w:val="004E4D0E"/>
    <w:rsid w:val="004E5658"/>
    <w:rsid w:val="004E60C6"/>
    <w:rsid w:val="004E61A6"/>
    <w:rsid w:val="004E7C8F"/>
    <w:rsid w:val="004F0928"/>
    <w:rsid w:val="004F0B64"/>
    <w:rsid w:val="004F0C6F"/>
    <w:rsid w:val="004F25F0"/>
    <w:rsid w:val="004F3E68"/>
    <w:rsid w:val="004F4341"/>
    <w:rsid w:val="004F4558"/>
    <w:rsid w:val="004F48E3"/>
    <w:rsid w:val="004F52D3"/>
    <w:rsid w:val="004F5496"/>
    <w:rsid w:val="004F5CF5"/>
    <w:rsid w:val="004F61C6"/>
    <w:rsid w:val="004F658A"/>
    <w:rsid w:val="004F6658"/>
    <w:rsid w:val="004F6A79"/>
    <w:rsid w:val="004F73CA"/>
    <w:rsid w:val="004F7679"/>
    <w:rsid w:val="005002F4"/>
    <w:rsid w:val="0050083D"/>
    <w:rsid w:val="00500C75"/>
    <w:rsid w:val="00501048"/>
    <w:rsid w:val="005021AD"/>
    <w:rsid w:val="005029D0"/>
    <w:rsid w:val="00502B09"/>
    <w:rsid w:val="00503573"/>
    <w:rsid w:val="005035DA"/>
    <w:rsid w:val="0050390E"/>
    <w:rsid w:val="00504A3E"/>
    <w:rsid w:val="00504D96"/>
    <w:rsid w:val="00505117"/>
    <w:rsid w:val="00505D54"/>
    <w:rsid w:val="00505E91"/>
    <w:rsid w:val="00506500"/>
    <w:rsid w:val="005068AF"/>
    <w:rsid w:val="005105EB"/>
    <w:rsid w:val="005107BC"/>
    <w:rsid w:val="00510929"/>
    <w:rsid w:val="00510A76"/>
    <w:rsid w:val="00511422"/>
    <w:rsid w:val="00512A1E"/>
    <w:rsid w:val="00513376"/>
    <w:rsid w:val="00513FDB"/>
    <w:rsid w:val="00514440"/>
    <w:rsid w:val="005147F7"/>
    <w:rsid w:val="00514C3E"/>
    <w:rsid w:val="005153EC"/>
    <w:rsid w:val="0051548C"/>
    <w:rsid w:val="0051565A"/>
    <w:rsid w:val="00516243"/>
    <w:rsid w:val="00516ED6"/>
    <w:rsid w:val="00517E22"/>
    <w:rsid w:val="0052026F"/>
    <w:rsid w:val="005204DC"/>
    <w:rsid w:val="00520EC5"/>
    <w:rsid w:val="00521332"/>
    <w:rsid w:val="00521669"/>
    <w:rsid w:val="00521D94"/>
    <w:rsid w:val="005228C3"/>
    <w:rsid w:val="00524092"/>
    <w:rsid w:val="005250CB"/>
    <w:rsid w:val="005263A3"/>
    <w:rsid w:val="005275B8"/>
    <w:rsid w:val="0053078D"/>
    <w:rsid w:val="00530A81"/>
    <w:rsid w:val="00531B13"/>
    <w:rsid w:val="00531D68"/>
    <w:rsid w:val="00531E01"/>
    <w:rsid w:val="00533E88"/>
    <w:rsid w:val="00534469"/>
    <w:rsid w:val="0053591D"/>
    <w:rsid w:val="00535CA1"/>
    <w:rsid w:val="00535CCE"/>
    <w:rsid w:val="005361BF"/>
    <w:rsid w:val="00536237"/>
    <w:rsid w:val="00537112"/>
    <w:rsid w:val="0053719B"/>
    <w:rsid w:val="00537318"/>
    <w:rsid w:val="00537490"/>
    <w:rsid w:val="00537E25"/>
    <w:rsid w:val="00540761"/>
    <w:rsid w:val="0054076C"/>
    <w:rsid w:val="00540D27"/>
    <w:rsid w:val="00541013"/>
    <w:rsid w:val="0054122A"/>
    <w:rsid w:val="00541255"/>
    <w:rsid w:val="005422CA"/>
    <w:rsid w:val="005430DC"/>
    <w:rsid w:val="00543836"/>
    <w:rsid w:val="0054391A"/>
    <w:rsid w:val="005440DA"/>
    <w:rsid w:val="005448D5"/>
    <w:rsid w:val="00544D81"/>
    <w:rsid w:val="00544E7A"/>
    <w:rsid w:val="0054514B"/>
    <w:rsid w:val="005453DF"/>
    <w:rsid w:val="00545538"/>
    <w:rsid w:val="00545595"/>
    <w:rsid w:val="005458B6"/>
    <w:rsid w:val="005465EE"/>
    <w:rsid w:val="005466C3"/>
    <w:rsid w:val="00546CCD"/>
    <w:rsid w:val="0054745A"/>
    <w:rsid w:val="00547E1C"/>
    <w:rsid w:val="00550090"/>
    <w:rsid w:val="0055088F"/>
    <w:rsid w:val="00550E81"/>
    <w:rsid w:val="005512D0"/>
    <w:rsid w:val="005519DA"/>
    <w:rsid w:val="00551FC2"/>
    <w:rsid w:val="005527C4"/>
    <w:rsid w:val="00553033"/>
    <w:rsid w:val="005532E4"/>
    <w:rsid w:val="00553375"/>
    <w:rsid w:val="00554514"/>
    <w:rsid w:val="00554646"/>
    <w:rsid w:val="00554E25"/>
    <w:rsid w:val="0055501D"/>
    <w:rsid w:val="0055533F"/>
    <w:rsid w:val="00555ECF"/>
    <w:rsid w:val="00555EF7"/>
    <w:rsid w:val="00556116"/>
    <w:rsid w:val="00556781"/>
    <w:rsid w:val="00556F49"/>
    <w:rsid w:val="0055736C"/>
    <w:rsid w:val="00560166"/>
    <w:rsid w:val="005602D8"/>
    <w:rsid w:val="00560778"/>
    <w:rsid w:val="00560AB0"/>
    <w:rsid w:val="00560FB1"/>
    <w:rsid w:val="00561022"/>
    <w:rsid w:val="005610D9"/>
    <w:rsid w:val="00561513"/>
    <w:rsid w:val="005619E1"/>
    <w:rsid w:val="00562707"/>
    <w:rsid w:val="0056286D"/>
    <w:rsid w:val="00563093"/>
    <w:rsid w:val="00563636"/>
    <w:rsid w:val="00563D86"/>
    <w:rsid w:val="00564261"/>
    <w:rsid w:val="00565B68"/>
    <w:rsid w:val="00565B85"/>
    <w:rsid w:val="00565E9F"/>
    <w:rsid w:val="005666BC"/>
    <w:rsid w:val="005667DC"/>
    <w:rsid w:val="005667F2"/>
    <w:rsid w:val="005671B4"/>
    <w:rsid w:val="00567EFE"/>
    <w:rsid w:val="00570199"/>
    <w:rsid w:val="005718DB"/>
    <w:rsid w:val="00571A8A"/>
    <w:rsid w:val="005732C0"/>
    <w:rsid w:val="00573429"/>
    <w:rsid w:val="0057430E"/>
    <w:rsid w:val="00574DE8"/>
    <w:rsid w:val="00575357"/>
    <w:rsid w:val="00575BC7"/>
    <w:rsid w:val="00576084"/>
    <w:rsid w:val="005762A2"/>
    <w:rsid w:val="00576AB9"/>
    <w:rsid w:val="00576FE4"/>
    <w:rsid w:val="00577437"/>
    <w:rsid w:val="00577703"/>
    <w:rsid w:val="00577844"/>
    <w:rsid w:val="00577D62"/>
    <w:rsid w:val="00580D4E"/>
    <w:rsid w:val="00581769"/>
    <w:rsid w:val="0058227A"/>
    <w:rsid w:val="0058232E"/>
    <w:rsid w:val="00582508"/>
    <w:rsid w:val="00582588"/>
    <w:rsid w:val="005827BD"/>
    <w:rsid w:val="00582986"/>
    <w:rsid w:val="00582E7C"/>
    <w:rsid w:val="00583307"/>
    <w:rsid w:val="0058360E"/>
    <w:rsid w:val="0058472C"/>
    <w:rsid w:val="00585095"/>
    <w:rsid w:val="00585347"/>
    <w:rsid w:val="00585B92"/>
    <w:rsid w:val="00585EA8"/>
    <w:rsid w:val="0058694E"/>
    <w:rsid w:val="0058741F"/>
    <w:rsid w:val="00587554"/>
    <w:rsid w:val="0058774D"/>
    <w:rsid w:val="00587F30"/>
    <w:rsid w:val="0059008A"/>
    <w:rsid w:val="005902EB"/>
    <w:rsid w:val="00590BA6"/>
    <w:rsid w:val="00590C83"/>
    <w:rsid w:val="00592462"/>
    <w:rsid w:val="0059275C"/>
    <w:rsid w:val="0059378A"/>
    <w:rsid w:val="00593948"/>
    <w:rsid w:val="005941AF"/>
    <w:rsid w:val="005945B3"/>
    <w:rsid w:val="00594BEA"/>
    <w:rsid w:val="005950D8"/>
    <w:rsid w:val="005951BB"/>
    <w:rsid w:val="0059607D"/>
    <w:rsid w:val="00596677"/>
    <w:rsid w:val="0059765E"/>
    <w:rsid w:val="00597B10"/>
    <w:rsid w:val="00597FDC"/>
    <w:rsid w:val="005A0481"/>
    <w:rsid w:val="005A13F4"/>
    <w:rsid w:val="005A184B"/>
    <w:rsid w:val="005A2C7B"/>
    <w:rsid w:val="005A35ED"/>
    <w:rsid w:val="005A39EE"/>
    <w:rsid w:val="005A3E71"/>
    <w:rsid w:val="005A44A7"/>
    <w:rsid w:val="005A47F5"/>
    <w:rsid w:val="005A4DFC"/>
    <w:rsid w:val="005A579F"/>
    <w:rsid w:val="005A5A36"/>
    <w:rsid w:val="005A605D"/>
    <w:rsid w:val="005A6475"/>
    <w:rsid w:val="005A6491"/>
    <w:rsid w:val="005A6699"/>
    <w:rsid w:val="005A6F8A"/>
    <w:rsid w:val="005A7448"/>
    <w:rsid w:val="005B0725"/>
    <w:rsid w:val="005B0755"/>
    <w:rsid w:val="005B1398"/>
    <w:rsid w:val="005B18F6"/>
    <w:rsid w:val="005B1A75"/>
    <w:rsid w:val="005B2163"/>
    <w:rsid w:val="005B3620"/>
    <w:rsid w:val="005B3C22"/>
    <w:rsid w:val="005B3EC1"/>
    <w:rsid w:val="005B4488"/>
    <w:rsid w:val="005B44E1"/>
    <w:rsid w:val="005B5296"/>
    <w:rsid w:val="005B5546"/>
    <w:rsid w:val="005B681E"/>
    <w:rsid w:val="005B6837"/>
    <w:rsid w:val="005B7C97"/>
    <w:rsid w:val="005C1A43"/>
    <w:rsid w:val="005C1D9B"/>
    <w:rsid w:val="005C2C88"/>
    <w:rsid w:val="005C369E"/>
    <w:rsid w:val="005C3F2B"/>
    <w:rsid w:val="005C4802"/>
    <w:rsid w:val="005C49D5"/>
    <w:rsid w:val="005C4A67"/>
    <w:rsid w:val="005C5D82"/>
    <w:rsid w:val="005C61E9"/>
    <w:rsid w:val="005C7D96"/>
    <w:rsid w:val="005D0982"/>
    <w:rsid w:val="005D2031"/>
    <w:rsid w:val="005D2BE5"/>
    <w:rsid w:val="005D33B8"/>
    <w:rsid w:val="005D420E"/>
    <w:rsid w:val="005D42B2"/>
    <w:rsid w:val="005D44DB"/>
    <w:rsid w:val="005D5B96"/>
    <w:rsid w:val="005D5C1D"/>
    <w:rsid w:val="005D6300"/>
    <w:rsid w:val="005E0352"/>
    <w:rsid w:val="005E0628"/>
    <w:rsid w:val="005E0848"/>
    <w:rsid w:val="005E0CE8"/>
    <w:rsid w:val="005E1B2F"/>
    <w:rsid w:val="005E1C95"/>
    <w:rsid w:val="005E1EF8"/>
    <w:rsid w:val="005E248F"/>
    <w:rsid w:val="005E2BCF"/>
    <w:rsid w:val="005E3FBB"/>
    <w:rsid w:val="005E3FBD"/>
    <w:rsid w:val="005E40CB"/>
    <w:rsid w:val="005E45D6"/>
    <w:rsid w:val="005E4689"/>
    <w:rsid w:val="005E5834"/>
    <w:rsid w:val="005E5A30"/>
    <w:rsid w:val="005E5C98"/>
    <w:rsid w:val="005E6570"/>
    <w:rsid w:val="005E674C"/>
    <w:rsid w:val="005E7010"/>
    <w:rsid w:val="005E71EA"/>
    <w:rsid w:val="005E78A3"/>
    <w:rsid w:val="005E7A2B"/>
    <w:rsid w:val="005E7F33"/>
    <w:rsid w:val="005F09CA"/>
    <w:rsid w:val="005F1371"/>
    <w:rsid w:val="005F190D"/>
    <w:rsid w:val="005F1E1F"/>
    <w:rsid w:val="005F1E72"/>
    <w:rsid w:val="005F26E6"/>
    <w:rsid w:val="005F2DD3"/>
    <w:rsid w:val="005F3BFF"/>
    <w:rsid w:val="005F5185"/>
    <w:rsid w:val="005F5F4F"/>
    <w:rsid w:val="005F73AE"/>
    <w:rsid w:val="005F7A3A"/>
    <w:rsid w:val="006006AF"/>
    <w:rsid w:val="00600854"/>
    <w:rsid w:val="00601EC8"/>
    <w:rsid w:val="006034A6"/>
    <w:rsid w:val="00603BF0"/>
    <w:rsid w:val="0060448F"/>
    <w:rsid w:val="00604666"/>
    <w:rsid w:val="00605C86"/>
    <w:rsid w:val="00606346"/>
    <w:rsid w:val="00606B2F"/>
    <w:rsid w:val="00610C7B"/>
    <w:rsid w:val="00611E30"/>
    <w:rsid w:val="006126FF"/>
    <w:rsid w:val="00612764"/>
    <w:rsid w:val="00612F3F"/>
    <w:rsid w:val="00613D63"/>
    <w:rsid w:val="00613FE0"/>
    <w:rsid w:val="0061434D"/>
    <w:rsid w:val="006144AA"/>
    <w:rsid w:val="0061476F"/>
    <w:rsid w:val="00614C96"/>
    <w:rsid w:val="00614FAB"/>
    <w:rsid w:val="006154FB"/>
    <w:rsid w:val="0061610B"/>
    <w:rsid w:val="00617ED7"/>
    <w:rsid w:val="006205D4"/>
    <w:rsid w:val="006211D0"/>
    <w:rsid w:val="006220AA"/>
    <w:rsid w:val="0062220E"/>
    <w:rsid w:val="0062291F"/>
    <w:rsid w:val="00622C88"/>
    <w:rsid w:val="00622CA0"/>
    <w:rsid w:val="00622F81"/>
    <w:rsid w:val="0062324C"/>
    <w:rsid w:val="00623272"/>
    <w:rsid w:val="00623A20"/>
    <w:rsid w:val="006249CD"/>
    <w:rsid w:val="00624BD1"/>
    <w:rsid w:val="00625528"/>
    <w:rsid w:val="0062626B"/>
    <w:rsid w:val="00626F52"/>
    <w:rsid w:val="0062761C"/>
    <w:rsid w:val="00631593"/>
    <w:rsid w:val="006319B1"/>
    <w:rsid w:val="00631CEA"/>
    <w:rsid w:val="0063235B"/>
    <w:rsid w:val="00632950"/>
    <w:rsid w:val="00632F5F"/>
    <w:rsid w:val="006335FA"/>
    <w:rsid w:val="00634D0D"/>
    <w:rsid w:val="0063539C"/>
    <w:rsid w:val="00636AD4"/>
    <w:rsid w:val="006375D2"/>
    <w:rsid w:val="006377ED"/>
    <w:rsid w:val="00637B60"/>
    <w:rsid w:val="0064049E"/>
    <w:rsid w:val="006405AD"/>
    <w:rsid w:val="00640A08"/>
    <w:rsid w:val="00640EEA"/>
    <w:rsid w:val="006413BF"/>
    <w:rsid w:val="006416ED"/>
    <w:rsid w:val="00642217"/>
    <w:rsid w:val="00642489"/>
    <w:rsid w:val="00642897"/>
    <w:rsid w:val="00642B47"/>
    <w:rsid w:val="00642B75"/>
    <w:rsid w:val="00642F5A"/>
    <w:rsid w:val="00643958"/>
    <w:rsid w:val="00643D39"/>
    <w:rsid w:val="00643E5B"/>
    <w:rsid w:val="00643FDC"/>
    <w:rsid w:val="0064404C"/>
    <w:rsid w:val="00644514"/>
    <w:rsid w:val="00644C3A"/>
    <w:rsid w:val="00644FDB"/>
    <w:rsid w:val="00645097"/>
    <w:rsid w:val="00645165"/>
    <w:rsid w:val="006453F6"/>
    <w:rsid w:val="006463A7"/>
    <w:rsid w:val="006467B7"/>
    <w:rsid w:val="006467DC"/>
    <w:rsid w:val="00646D45"/>
    <w:rsid w:val="00647634"/>
    <w:rsid w:val="00647A46"/>
    <w:rsid w:val="00647BCD"/>
    <w:rsid w:val="00650871"/>
    <w:rsid w:val="006508CB"/>
    <w:rsid w:val="00650A9D"/>
    <w:rsid w:val="00650C06"/>
    <w:rsid w:val="00650C0F"/>
    <w:rsid w:val="00652102"/>
    <w:rsid w:val="00652BB3"/>
    <w:rsid w:val="00652F8F"/>
    <w:rsid w:val="00653419"/>
    <w:rsid w:val="00654874"/>
    <w:rsid w:val="006549D1"/>
    <w:rsid w:val="00655B0C"/>
    <w:rsid w:val="00655B58"/>
    <w:rsid w:val="00657436"/>
    <w:rsid w:val="00657B71"/>
    <w:rsid w:val="006606C5"/>
    <w:rsid w:val="00661BE7"/>
    <w:rsid w:val="006623D6"/>
    <w:rsid w:val="00662650"/>
    <w:rsid w:val="006633D9"/>
    <w:rsid w:val="00663696"/>
    <w:rsid w:val="00663839"/>
    <w:rsid w:val="00663BD2"/>
    <w:rsid w:val="00663E1A"/>
    <w:rsid w:val="00663E4B"/>
    <w:rsid w:val="0066448E"/>
    <w:rsid w:val="00664C7D"/>
    <w:rsid w:val="00665555"/>
    <w:rsid w:val="00665C6C"/>
    <w:rsid w:val="006668EF"/>
    <w:rsid w:val="006709C8"/>
    <w:rsid w:val="006711AA"/>
    <w:rsid w:val="0067166C"/>
    <w:rsid w:val="00671B14"/>
    <w:rsid w:val="00672533"/>
    <w:rsid w:val="00673E1D"/>
    <w:rsid w:val="0067449E"/>
    <w:rsid w:val="00674F8C"/>
    <w:rsid w:val="00675B8A"/>
    <w:rsid w:val="00675BFC"/>
    <w:rsid w:val="00675F1C"/>
    <w:rsid w:val="00676BA8"/>
    <w:rsid w:val="006770BB"/>
    <w:rsid w:val="00677C3B"/>
    <w:rsid w:val="00680BBB"/>
    <w:rsid w:val="00680F44"/>
    <w:rsid w:val="00680FF3"/>
    <w:rsid w:val="00681D0B"/>
    <w:rsid w:val="006831CD"/>
    <w:rsid w:val="00683332"/>
    <w:rsid w:val="00684201"/>
    <w:rsid w:val="00684A26"/>
    <w:rsid w:val="006858E3"/>
    <w:rsid w:val="00685A8A"/>
    <w:rsid w:val="00685E38"/>
    <w:rsid w:val="00686A5C"/>
    <w:rsid w:val="0068703F"/>
    <w:rsid w:val="00691815"/>
    <w:rsid w:val="00692020"/>
    <w:rsid w:val="0069212A"/>
    <w:rsid w:val="00692534"/>
    <w:rsid w:val="00692E0B"/>
    <w:rsid w:val="00692EC0"/>
    <w:rsid w:val="0069308B"/>
    <w:rsid w:val="00694D64"/>
    <w:rsid w:val="0069512B"/>
    <w:rsid w:val="00695703"/>
    <w:rsid w:val="006957C1"/>
    <w:rsid w:val="00696396"/>
    <w:rsid w:val="00696821"/>
    <w:rsid w:val="00696B1F"/>
    <w:rsid w:val="00697050"/>
    <w:rsid w:val="00697763"/>
    <w:rsid w:val="00697CF6"/>
    <w:rsid w:val="006A01A5"/>
    <w:rsid w:val="006A033A"/>
    <w:rsid w:val="006A09D5"/>
    <w:rsid w:val="006A0C27"/>
    <w:rsid w:val="006A0FC2"/>
    <w:rsid w:val="006A1119"/>
    <w:rsid w:val="006A1C25"/>
    <w:rsid w:val="006A1D75"/>
    <w:rsid w:val="006A1E97"/>
    <w:rsid w:val="006A265F"/>
    <w:rsid w:val="006A281D"/>
    <w:rsid w:val="006A2879"/>
    <w:rsid w:val="006A2F82"/>
    <w:rsid w:val="006A39DF"/>
    <w:rsid w:val="006A3EF2"/>
    <w:rsid w:val="006A47CE"/>
    <w:rsid w:val="006A507E"/>
    <w:rsid w:val="006A5A3D"/>
    <w:rsid w:val="006A5BFE"/>
    <w:rsid w:val="006A5CB5"/>
    <w:rsid w:val="006A6F1A"/>
    <w:rsid w:val="006A7B4F"/>
    <w:rsid w:val="006A7C4A"/>
    <w:rsid w:val="006A7E42"/>
    <w:rsid w:val="006B029F"/>
    <w:rsid w:val="006B0573"/>
    <w:rsid w:val="006B0659"/>
    <w:rsid w:val="006B085C"/>
    <w:rsid w:val="006B08E4"/>
    <w:rsid w:val="006B0CE0"/>
    <w:rsid w:val="006B1263"/>
    <w:rsid w:val="006B25F2"/>
    <w:rsid w:val="006B275B"/>
    <w:rsid w:val="006B2883"/>
    <w:rsid w:val="006B2943"/>
    <w:rsid w:val="006B36E5"/>
    <w:rsid w:val="006B389E"/>
    <w:rsid w:val="006B4ED0"/>
    <w:rsid w:val="006B58D0"/>
    <w:rsid w:val="006B6196"/>
    <w:rsid w:val="006B7BDA"/>
    <w:rsid w:val="006B7DC2"/>
    <w:rsid w:val="006C087F"/>
    <w:rsid w:val="006C0C88"/>
    <w:rsid w:val="006C1CE5"/>
    <w:rsid w:val="006C1D37"/>
    <w:rsid w:val="006C20BB"/>
    <w:rsid w:val="006C2DE0"/>
    <w:rsid w:val="006C375B"/>
    <w:rsid w:val="006C3965"/>
    <w:rsid w:val="006C43F9"/>
    <w:rsid w:val="006C44DA"/>
    <w:rsid w:val="006C492F"/>
    <w:rsid w:val="006C4C7F"/>
    <w:rsid w:val="006C50DC"/>
    <w:rsid w:val="006C5402"/>
    <w:rsid w:val="006C5C03"/>
    <w:rsid w:val="006C6115"/>
    <w:rsid w:val="006C6152"/>
    <w:rsid w:val="006C6675"/>
    <w:rsid w:val="006C6A6B"/>
    <w:rsid w:val="006C6F8C"/>
    <w:rsid w:val="006C7AC5"/>
    <w:rsid w:val="006D0B92"/>
    <w:rsid w:val="006D1444"/>
    <w:rsid w:val="006D1D99"/>
    <w:rsid w:val="006D2283"/>
    <w:rsid w:val="006D2CEC"/>
    <w:rsid w:val="006D32E4"/>
    <w:rsid w:val="006D5214"/>
    <w:rsid w:val="006D5F7E"/>
    <w:rsid w:val="006E00AD"/>
    <w:rsid w:val="006E0FA3"/>
    <w:rsid w:val="006E1627"/>
    <w:rsid w:val="006E1770"/>
    <w:rsid w:val="006E1EB6"/>
    <w:rsid w:val="006E1F1E"/>
    <w:rsid w:val="006E2081"/>
    <w:rsid w:val="006E29E7"/>
    <w:rsid w:val="006E372A"/>
    <w:rsid w:val="006E440A"/>
    <w:rsid w:val="006E4551"/>
    <w:rsid w:val="006E4BD3"/>
    <w:rsid w:val="006E5EB1"/>
    <w:rsid w:val="006E6498"/>
    <w:rsid w:val="006E6A7F"/>
    <w:rsid w:val="006E6EA6"/>
    <w:rsid w:val="006E7745"/>
    <w:rsid w:val="006E7F63"/>
    <w:rsid w:val="006F06D8"/>
    <w:rsid w:val="006F1165"/>
    <w:rsid w:val="006F11EE"/>
    <w:rsid w:val="006F1EFE"/>
    <w:rsid w:val="006F2113"/>
    <w:rsid w:val="006F2CC6"/>
    <w:rsid w:val="006F2F81"/>
    <w:rsid w:val="006F322A"/>
    <w:rsid w:val="006F3C55"/>
    <w:rsid w:val="006F49E9"/>
    <w:rsid w:val="006F4E74"/>
    <w:rsid w:val="006F4FE6"/>
    <w:rsid w:val="006F5DBA"/>
    <w:rsid w:val="006F6045"/>
    <w:rsid w:val="006F60E5"/>
    <w:rsid w:val="006F6B4C"/>
    <w:rsid w:val="006F6D8E"/>
    <w:rsid w:val="006F70A9"/>
    <w:rsid w:val="007007EC"/>
    <w:rsid w:val="00700ABB"/>
    <w:rsid w:val="00700DF1"/>
    <w:rsid w:val="00701073"/>
    <w:rsid w:val="007028CA"/>
    <w:rsid w:val="00702C93"/>
    <w:rsid w:val="00702E60"/>
    <w:rsid w:val="00702FB3"/>
    <w:rsid w:val="00702FBC"/>
    <w:rsid w:val="007040C6"/>
    <w:rsid w:val="00704126"/>
    <w:rsid w:val="007058DD"/>
    <w:rsid w:val="00706AF2"/>
    <w:rsid w:val="00706C63"/>
    <w:rsid w:val="007070A2"/>
    <w:rsid w:val="007075F1"/>
    <w:rsid w:val="0071041D"/>
    <w:rsid w:val="0071064C"/>
    <w:rsid w:val="00710895"/>
    <w:rsid w:val="00711955"/>
    <w:rsid w:val="00712358"/>
    <w:rsid w:val="007124BD"/>
    <w:rsid w:val="00712B94"/>
    <w:rsid w:val="00712F89"/>
    <w:rsid w:val="0071328A"/>
    <w:rsid w:val="00713B06"/>
    <w:rsid w:val="00713EAC"/>
    <w:rsid w:val="00714007"/>
    <w:rsid w:val="00714F64"/>
    <w:rsid w:val="00714F69"/>
    <w:rsid w:val="00715285"/>
    <w:rsid w:val="0071571E"/>
    <w:rsid w:val="00716040"/>
    <w:rsid w:val="00716660"/>
    <w:rsid w:val="00720CBB"/>
    <w:rsid w:val="00720F85"/>
    <w:rsid w:val="00721F0C"/>
    <w:rsid w:val="00722529"/>
    <w:rsid w:val="0072288C"/>
    <w:rsid w:val="00722C8A"/>
    <w:rsid w:val="00722EB7"/>
    <w:rsid w:val="00724040"/>
    <w:rsid w:val="007247E4"/>
    <w:rsid w:val="00724CF9"/>
    <w:rsid w:val="00724E89"/>
    <w:rsid w:val="007259C8"/>
    <w:rsid w:val="00726F98"/>
    <w:rsid w:val="0072717C"/>
    <w:rsid w:val="007275C5"/>
    <w:rsid w:val="00727E99"/>
    <w:rsid w:val="00727FFE"/>
    <w:rsid w:val="007302FC"/>
    <w:rsid w:val="0073056E"/>
    <w:rsid w:val="00730726"/>
    <w:rsid w:val="007319BC"/>
    <w:rsid w:val="00731EFE"/>
    <w:rsid w:val="0073312A"/>
    <w:rsid w:val="00735318"/>
    <w:rsid w:val="00735467"/>
    <w:rsid w:val="007356E4"/>
    <w:rsid w:val="007356ED"/>
    <w:rsid w:val="00735F27"/>
    <w:rsid w:val="0073658A"/>
    <w:rsid w:val="007366EA"/>
    <w:rsid w:val="00736BCD"/>
    <w:rsid w:val="00736D86"/>
    <w:rsid w:val="0073729A"/>
    <w:rsid w:val="00740FFA"/>
    <w:rsid w:val="00741866"/>
    <w:rsid w:val="007423A4"/>
    <w:rsid w:val="00742647"/>
    <w:rsid w:val="00742C9B"/>
    <w:rsid w:val="00743716"/>
    <w:rsid w:val="007438BF"/>
    <w:rsid w:val="00744263"/>
    <w:rsid w:val="0074457D"/>
    <w:rsid w:val="00744791"/>
    <w:rsid w:val="0074491C"/>
    <w:rsid w:val="0074636B"/>
    <w:rsid w:val="007463EE"/>
    <w:rsid w:val="007466A1"/>
    <w:rsid w:val="00746926"/>
    <w:rsid w:val="007469BA"/>
    <w:rsid w:val="00746A20"/>
    <w:rsid w:val="007477D0"/>
    <w:rsid w:val="00747926"/>
    <w:rsid w:val="00750713"/>
    <w:rsid w:val="00751057"/>
    <w:rsid w:val="00751E1E"/>
    <w:rsid w:val="007532E8"/>
    <w:rsid w:val="0075530A"/>
    <w:rsid w:val="00755982"/>
    <w:rsid w:val="00755A9F"/>
    <w:rsid w:val="00755AAD"/>
    <w:rsid w:val="00755C2B"/>
    <w:rsid w:val="00755E61"/>
    <w:rsid w:val="00756655"/>
    <w:rsid w:val="0075671C"/>
    <w:rsid w:val="00756854"/>
    <w:rsid w:val="007570B5"/>
    <w:rsid w:val="007572A5"/>
    <w:rsid w:val="00757987"/>
    <w:rsid w:val="007600E5"/>
    <w:rsid w:val="00760D88"/>
    <w:rsid w:val="0076119F"/>
    <w:rsid w:val="00761679"/>
    <w:rsid w:val="00762770"/>
    <w:rsid w:val="007629AF"/>
    <w:rsid w:val="00763CB7"/>
    <w:rsid w:val="007649A4"/>
    <w:rsid w:val="00764F2B"/>
    <w:rsid w:val="0076525C"/>
    <w:rsid w:val="0076569C"/>
    <w:rsid w:val="00765FEC"/>
    <w:rsid w:val="007662D9"/>
    <w:rsid w:val="00766A64"/>
    <w:rsid w:val="00766F41"/>
    <w:rsid w:val="00767526"/>
    <w:rsid w:val="0076795B"/>
    <w:rsid w:val="00767F3A"/>
    <w:rsid w:val="00770647"/>
    <w:rsid w:val="00771310"/>
    <w:rsid w:val="007713B2"/>
    <w:rsid w:val="00771411"/>
    <w:rsid w:val="00773E82"/>
    <w:rsid w:val="0077417E"/>
    <w:rsid w:val="007741AA"/>
    <w:rsid w:val="00774A40"/>
    <w:rsid w:val="00774D50"/>
    <w:rsid w:val="00775103"/>
    <w:rsid w:val="00776107"/>
    <w:rsid w:val="007762A4"/>
    <w:rsid w:val="007762EA"/>
    <w:rsid w:val="0077671F"/>
    <w:rsid w:val="00776F80"/>
    <w:rsid w:val="00777543"/>
    <w:rsid w:val="00777749"/>
    <w:rsid w:val="007777FE"/>
    <w:rsid w:val="00780233"/>
    <w:rsid w:val="0078051C"/>
    <w:rsid w:val="00780CC5"/>
    <w:rsid w:val="00780F39"/>
    <w:rsid w:val="007823C4"/>
    <w:rsid w:val="00784071"/>
    <w:rsid w:val="0078409B"/>
    <w:rsid w:val="00784603"/>
    <w:rsid w:val="00784A7D"/>
    <w:rsid w:val="00784BE2"/>
    <w:rsid w:val="0078584E"/>
    <w:rsid w:val="00785F7A"/>
    <w:rsid w:val="0078616E"/>
    <w:rsid w:val="00786288"/>
    <w:rsid w:val="00786709"/>
    <w:rsid w:val="00787632"/>
    <w:rsid w:val="00787789"/>
    <w:rsid w:val="00790B2A"/>
    <w:rsid w:val="00791FD0"/>
    <w:rsid w:val="00793B8D"/>
    <w:rsid w:val="00793EEA"/>
    <w:rsid w:val="00795504"/>
    <w:rsid w:val="007958A2"/>
    <w:rsid w:val="00795DCE"/>
    <w:rsid w:val="00796485"/>
    <w:rsid w:val="007967C4"/>
    <w:rsid w:val="00796E95"/>
    <w:rsid w:val="00796F07"/>
    <w:rsid w:val="00797894"/>
    <w:rsid w:val="00797A2D"/>
    <w:rsid w:val="00797F28"/>
    <w:rsid w:val="007A01DF"/>
    <w:rsid w:val="007A067E"/>
    <w:rsid w:val="007A1621"/>
    <w:rsid w:val="007A1A51"/>
    <w:rsid w:val="007A1FF5"/>
    <w:rsid w:val="007A22B7"/>
    <w:rsid w:val="007A2D1A"/>
    <w:rsid w:val="007A2DD2"/>
    <w:rsid w:val="007A2E1F"/>
    <w:rsid w:val="007A30E5"/>
    <w:rsid w:val="007A3A77"/>
    <w:rsid w:val="007A3CB8"/>
    <w:rsid w:val="007A3D77"/>
    <w:rsid w:val="007A43EB"/>
    <w:rsid w:val="007A478D"/>
    <w:rsid w:val="007A503B"/>
    <w:rsid w:val="007A5377"/>
    <w:rsid w:val="007A5E0E"/>
    <w:rsid w:val="007A5E4F"/>
    <w:rsid w:val="007A60F8"/>
    <w:rsid w:val="007A6265"/>
    <w:rsid w:val="007A65C1"/>
    <w:rsid w:val="007A6681"/>
    <w:rsid w:val="007A69DF"/>
    <w:rsid w:val="007A6A30"/>
    <w:rsid w:val="007A71FC"/>
    <w:rsid w:val="007A7755"/>
    <w:rsid w:val="007A77F0"/>
    <w:rsid w:val="007B0286"/>
    <w:rsid w:val="007B039F"/>
    <w:rsid w:val="007B06A7"/>
    <w:rsid w:val="007B2B54"/>
    <w:rsid w:val="007B2D3B"/>
    <w:rsid w:val="007B2EB3"/>
    <w:rsid w:val="007B4100"/>
    <w:rsid w:val="007B44CE"/>
    <w:rsid w:val="007B4CDC"/>
    <w:rsid w:val="007B4EA7"/>
    <w:rsid w:val="007B586A"/>
    <w:rsid w:val="007B5E67"/>
    <w:rsid w:val="007B6F3A"/>
    <w:rsid w:val="007B75B5"/>
    <w:rsid w:val="007B7A25"/>
    <w:rsid w:val="007C0A54"/>
    <w:rsid w:val="007C15D2"/>
    <w:rsid w:val="007C1987"/>
    <w:rsid w:val="007C22C3"/>
    <w:rsid w:val="007C4797"/>
    <w:rsid w:val="007C5D74"/>
    <w:rsid w:val="007C5DE9"/>
    <w:rsid w:val="007C624C"/>
    <w:rsid w:val="007C6933"/>
    <w:rsid w:val="007C74DD"/>
    <w:rsid w:val="007C752A"/>
    <w:rsid w:val="007D0514"/>
    <w:rsid w:val="007D06E5"/>
    <w:rsid w:val="007D1F08"/>
    <w:rsid w:val="007D281A"/>
    <w:rsid w:val="007D3217"/>
    <w:rsid w:val="007D3587"/>
    <w:rsid w:val="007D45CC"/>
    <w:rsid w:val="007D47B2"/>
    <w:rsid w:val="007D51F9"/>
    <w:rsid w:val="007D5DE3"/>
    <w:rsid w:val="007D708A"/>
    <w:rsid w:val="007D75C6"/>
    <w:rsid w:val="007D7C47"/>
    <w:rsid w:val="007E0AB2"/>
    <w:rsid w:val="007E0B63"/>
    <w:rsid w:val="007E0B81"/>
    <w:rsid w:val="007E1532"/>
    <w:rsid w:val="007E2902"/>
    <w:rsid w:val="007E2DDE"/>
    <w:rsid w:val="007E33F8"/>
    <w:rsid w:val="007E5A48"/>
    <w:rsid w:val="007E5CE2"/>
    <w:rsid w:val="007E5DA4"/>
    <w:rsid w:val="007E7A2E"/>
    <w:rsid w:val="007E7DF8"/>
    <w:rsid w:val="007F00A9"/>
    <w:rsid w:val="007F0A0E"/>
    <w:rsid w:val="007F0AE3"/>
    <w:rsid w:val="007F0C9D"/>
    <w:rsid w:val="007F1847"/>
    <w:rsid w:val="007F248B"/>
    <w:rsid w:val="007F31FD"/>
    <w:rsid w:val="007F448B"/>
    <w:rsid w:val="007F5211"/>
    <w:rsid w:val="007F563F"/>
    <w:rsid w:val="007F5717"/>
    <w:rsid w:val="007F5C83"/>
    <w:rsid w:val="007F62AA"/>
    <w:rsid w:val="007F64D9"/>
    <w:rsid w:val="007F72A5"/>
    <w:rsid w:val="007F76A6"/>
    <w:rsid w:val="007F7C01"/>
    <w:rsid w:val="008004DC"/>
    <w:rsid w:val="00801447"/>
    <w:rsid w:val="008016B8"/>
    <w:rsid w:val="00801CCE"/>
    <w:rsid w:val="00801D32"/>
    <w:rsid w:val="00802959"/>
    <w:rsid w:val="00803939"/>
    <w:rsid w:val="00803D6C"/>
    <w:rsid w:val="00804867"/>
    <w:rsid w:val="00805B38"/>
    <w:rsid w:val="0080618A"/>
    <w:rsid w:val="008069F5"/>
    <w:rsid w:val="00810BD6"/>
    <w:rsid w:val="00810C3C"/>
    <w:rsid w:val="008116C1"/>
    <w:rsid w:val="00812774"/>
    <w:rsid w:val="00812B14"/>
    <w:rsid w:val="008130EA"/>
    <w:rsid w:val="008139A4"/>
    <w:rsid w:val="00813DAA"/>
    <w:rsid w:val="0081518F"/>
    <w:rsid w:val="008160EE"/>
    <w:rsid w:val="00816FED"/>
    <w:rsid w:val="008170AC"/>
    <w:rsid w:val="0081716D"/>
    <w:rsid w:val="0082019B"/>
    <w:rsid w:val="008204C4"/>
    <w:rsid w:val="00820610"/>
    <w:rsid w:val="00820988"/>
    <w:rsid w:val="008212E5"/>
    <w:rsid w:val="00821429"/>
    <w:rsid w:val="0082147A"/>
    <w:rsid w:val="00821EC6"/>
    <w:rsid w:val="008224F0"/>
    <w:rsid w:val="00822DD9"/>
    <w:rsid w:val="00822E10"/>
    <w:rsid w:val="008235C9"/>
    <w:rsid w:val="00823BCD"/>
    <w:rsid w:val="0082413A"/>
    <w:rsid w:val="00824791"/>
    <w:rsid w:val="0082483D"/>
    <w:rsid w:val="0082487E"/>
    <w:rsid w:val="00824FC3"/>
    <w:rsid w:val="00825358"/>
    <w:rsid w:val="0082618D"/>
    <w:rsid w:val="00826CEF"/>
    <w:rsid w:val="00827114"/>
    <w:rsid w:val="00827CC3"/>
    <w:rsid w:val="00827D51"/>
    <w:rsid w:val="008300AE"/>
    <w:rsid w:val="0083030D"/>
    <w:rsid w:val="00830A7B"/>
    <w:rsid w:val="0083170E"/>
    <w:rsid w:val="00831BFF"/>
    <w:rsid w:val="00831C62"/>
    <w:rsid w:val="008324AA"/>
    <w:rsid w:val="00832967"/>
    <w:rsid w:val="00833038"/>
    <w:rsid w:val="008331AB"/>
    <w:rsid w:val="00833868"/>
    <w:rsid w:val="00833931"/>
    <w:rsid w:val="00834462"/>
    <w:rsid w:val="00835E07"/>
    <w:rsid w:val="00835EE8"/>
    <w:rsid w:val="00836392"/>
    <w:rsid w:val="008367B4"/>
    <w:rsid w:val="00836C2A"/>
    <w:rsid w:val="00837654"/>
    <w:rsid w:val="00837B50"/>
    <w:rsid w:val="0084087A"/>
    <w:rsid w:val="00840E52"/>
    <w:rsid w:val="00841772"/>
    <w:rsid w:val="00841A9C"/>
    <w:rsid w:val="008435BF"/>
    <w:rsid w:val="00843BED"/>
    <w:rsid w:val="00844129"/>
    <w:rsid w:val="00844449"/>
    <w:rsid w:val="008445DA"/>
    <w:rsid w:val="008447B3"/>
    <w:rsid w:val="00844EC2"/>
    <w:rsid w:val="00844ED9"/>
    <w:rsid w:val="0084515E"/>
    <w:rsid w:val="008452F6"/>
    <w:rsid w:val="00845377"/>
    <w:rsid w:val="00845C66"/>
    <w:rsid w:val="00846404"/>
    <w:rsid w:val="00847543"/>
    <w:rsid w:val="008476A3"/>
    <w:rsid w:val="008477A6"/>
    <w:rsid w:val="00847A05"/>
    <w:rsid w:val="00847BD1"/>
    <w:rsid w:val="00850226"/>
    <w:rsid w:val="00850478"/>
    <w:rsid w:val="008504A6"/>
    <w:rsid w:val="00851A1B"/>
    <w:rsid w:val="00851FCD"/>
    <w:rsid w:val="0085218A"/>
    <w:rsid w:val="00852749"/>
    <w:rsid w:val="00852A55"/>
    <w:rsid w:val="008531B6"/>
    <w:rsid w:val="00853AB2"/>
    <w:rsid w:val="0085414F"/>
    <w:rsid w:val="00855016"/>
    <w:rsid w:val="008567EF"/>
    <w:rsid w:val="00856E22"/>
    <w:rsid w:val="00857174"/>
    <w:rsid w:val="0085772B"/>
    <w:rsid w:val="00857E27"/>
    <w:rsid w:val="008603D4"/>
    <w:rsid w:val="00860B63"/>
    <w:rsid w:val="00860E11"/>
    <w:rsid w:val="008613BB"/>
    <w:rsid w:val="008626AF"/>
    <w:rsid w:val="00862A0A"/>
    <w:rsid w:val="00862B23"/>
    <w:rsid w:val="00863565"/>
    <w:rsid w:val="008640B3"/>
    <w:rsid w:val="00864C70"/>
    <w:rsid w:val="00865300"/>
    <w:rsid w:val="00866C3C"/>
    <w:rsid w:val="00867111"/>
    <w:rsid w:val="00867893"/>
    <w:rsid w:val="0087095A"/>
    <w:rsid w:val="00870E04"/>
    <w:rsid w:val="0087171C"/>
    <w:rsid w:val="00871CCB"/>
    <w:rsid w:val="00871E1D"/>
    <w:rsid w:val="0087256B"/>
    <w:rsid w:val="00874204"/>
    <w:rsid w:val="00874B9E"/>
    <w:rsid w:val="008755DD"/>
    <w:rsid w:val="00875800"/>
    <w:rsid w:val="008769E5"/>
    <w:rsid w:val="0088139E"/>
    <w:rsid w:val="008818D5"/>
    <w:rsid w:val="00881A64"/>
    <w:rsid w:val="00881A8B"/>
    <w:rsid w:val="008820E9"/>
    <w:rsid w:val="00882357"/>
    <w:rsid w:val="00883352"/>
    <w:rsid w:val="00883ADA"/>
    <w:rsid w:val="00884532"/>
    <w:rsid w:val="00884767"/>
    <w:rsid w:val="0088498D"/>
    <w:rsid w:val="00884A10"/>
    <w:rsid w:val="00885781"/>
    <w:rsid w:val="008857C3"/>
    <w:rsid w:val="00885D72"/>
    <w:rsid w:val="00886279"/>
    <w:rsid w:val="00886DC0"/>
    <w:rsid w:val="008872E8"/>
    <w:rsid w:val="00887D27"/>
    <w:rsid w:val="008900F1"/>
    <w:rsid w:val="00890448"/>
    <w:rsid w:val="00890553"/>
    <w:rsid w:val="00890911"/>
    <w:rsid w:val="00890B2E"/>
    <w:rsid w:val="0089186D"/>
    <w:rsid w:val="00891B48"/>
    <w:rsid w:val="00891FF0"/>
    <w:rsid w:val="0089272C"/>
    <w:rsid w:val="00892FD7"/>
    <w:rsid w:val="00893C44"/>
    <w:rsid w:val="0089449E"/>
    <w:rsid w:val="00894555"/>
    <w:rsid w:val="008946DF"/>
    <w:rsid w:val="00895051"/>
    <w:rsid w:val="008957F2"/>
    <w:rsid w:val="00895F72"/>
    <w:rsid w:val="00896079"/>
    <w:rsid w:val="00896CD2"/>
    <w:rsid w:val="00896DB4"/>
    <w:rsid w:val="008971D3"/>
    <w:rsid w:val="008971D4"/>
    <w:rsid w:val="00897D04"/>
    <w:rsid w:val="00897D64"/>
    <w:rsid w:val="00897DE0"/>
    <w:rsid w:val="00897F42"/>
    <w:rsid w:val="008A0038"/>
    <w:rsid w:val="008A0AAD"/>
    <w:rsid w:val="008A0F8C"/>
    <w:rsid w:val="008A13CA"/>
    <w:rsid w:val="008A1655"/>
    <w:rsid w:val="008A175F"/>
    <w:rsid w:val="008A1BC3"/>
    <w:rsid w:val="008A1D59"/>
    <w:rsid w:val="008A3307"/>
    <w:rsid w:val="008A3479"/>
    <w:rsid w:val="008A371B"/>
    <w:rsid w:val="008A4152"/>
    <w:rsid w:val="008A452D"/>
    <w:rsid w:val="008A457F"/>
    <w:rsid w:val="008A4D65"/>
    <w:rsid w:val="008A4FC0"/>
    <w:rsid w:val="008A5314"/>
    <w:rsid w:val="008A60ED"/>
    <w:rsid w:val="008A6C04"/>
    <w:rsid w:val="008A6C44"/>
    <w:rsid w:val="008A6F04"/>
    <w:rsid w:val="008A714D"/>
    <w:rsid w:val="008A73DD"/>
    <w:rsid w:val="008A76BD"/>
    <w:rsid w:val="008B0116"/>
    <w:rsid w:val="008B0356"/>
    <w:rsid w:val="008B0491"/>
    <w:rsid w:val="008B078A"/>
    <w:rsid w:val="008B286E"/>
    <w:rsid w:val="008B2CC0"/>
    <w:rsid w:val="008B3994"/>
    <w:rsid w:val="008B3DB6"/>
    <w:rsid w:val="008B4702"/>
    <w:rsid w:val="008B55F3"/>
    <w:rsid w:val="008B593F"/>
    <w:rsid w:val="008C00C2"/>
    <w:rsid w:val="008C0355"/>
    <w:rsid w:val="008C0CE6"/>
    <w:rsid w:val="008C0F91"/>
    <w:rsid w:val="008C1087"/>
    <w:rsid w:val="008C1296"/>
    <w:rsid w:val="008C18E0"/>
    <w:rsid w:val="008C1AB8"/>
    <w:rsid w:val="008C1C30"/>
    <w:rsid w:val="008C2305"/>
    <w:rsid w:val="008C2339"/>
    <w:rsid w:val="008C24AF"/>
    <w:rsid w:val="008C26A0"/>
    <w:rsid w:val="008C2917"/>
    <w:rsid w:val="008C2D88"/>
    <w:rsid w:val="008C3142"/>
    <w:rsid w:val="008C3448"/>
    <w:rsid w:val="008C38E8"/>
    <w:rsid w:val="008C3D10"/>
    <w:rsid w:val="008C4D1E"/>
    <w:rsid w:val="008C561E"/>
    <w:rsid w:val="008C59DA"/>
    <w:rsid w:val="008C5ACD"/>
    <w:rsid w:val="008C6AE0"/>
    <w:rsid w:val="008D2489"/>
    <w:rsid w:val="008D2B84"/>
    <w:rsid w:val="008D2CB7"/>
    <w:rsid w:val="008D2CED"/>
    <w:rsid w:val="008D30DF"/>
    <w:rsid w:val="008D315C"/>
    <w:rsid w:val="008D31CD"/>
    <w:rsid w:val="008D4042"/>
    <w:rsid w:val="008D4788"/>
    <w:rsid w:val="008D4E12"/>
    <w:rsid w:val="008D5E43"/>
    <w:rsid w:val="008D6179"/>
    <w:rsid w:val="008D6814"/>
    <w:rsid w:val="008D6C31"/>
    <w:rsid w:val="008D6E98"/>
    <w:rsid w:val="008D6EEF"/>
    <w:rsid w:val="008D72D8"/>
    <w:rsid w:val="008D7814"/>
    <w:rsid w:val="008E0304"/>
    <w:rsid w:val="008E049B"/>
    <w:rsid w:val="008E04E9"/>
    <w:rsid w:val="008E0F64"/>
    <w:rsid w:val="008E18DF"/>
    <w:rsid w:val="008E1978"/>
    <w:rsid w:val="008E1C3A"/>
    <w:rsid w:val="008E1DBC"/>
    <w:rsid w:val="008E4E0F"/>
    <w:rsid w:val="008E509A"/>
    <w:rsid w:val="008E5727"/>
    <w:rsid w:val="008E5CF2"/>
    <w:rsid w:val="008E62E0"/>
    <w:rsid w:val="008E768E"/>
    <w:rsid w:val="008E788D"/>
    <w:rsid w:val="008E7CAA"/>
    <w:rsid w:val="008E7CD8"/>
    <w:rsid w:val="008F05A2"/>
    <w:rsid w:val="008F0675"/>
    <w:rsid w:val="008F0A88"/>
    <w:rsid w:val="008F1A77"/>
    <w:rsid w:val="008F2279"/>
    <w:rsid w:val="008F27B2"/>
    <w:rsid w:val="008F35D0"/>
    <w:rsid w:val="008F3818"/>
    <w:rsid w:val="008F381C"/>
    <w:rsid w:val="008F3D4F"/>
    <w:rsid w:val="008F4428"/>
    <w:rsid w:val="008F5432"/>
    <w:rsid w:val="008F6057"/>
    <w:rsid w:val="008F67D3"/>
    <w:rsid w:val="008F6B05"/>
    <w:rsid w:val="008F6BC4"/>
    <w:rsid w:val="008F6CF3"/>
    <w:rsid w:val="008F7B4C"/>
    <w:rsid w:val="009004BD"/>
    <w:rsid w:val="0090082E"/>
    <w:rsid w:val="0090103C"/>
    <w:rsid w:val="00901E35"/>
    <w:rsid w:val="0090287D"/>
    <w:rsid w:val="00903281"/>
    <w:rsid w:val="00903345"/>
    <w:rsid w:val="00903E4D"/>
    <w:rsid w:val="00903EEA"/>
    <w:rsid w:val="00904883"/>
    <w:rsid w:val="009052B4"/>
    <w:rsid w:val="00905FD5"/>
    <w:rsid w:val="0090651D"/>
    <w:rsid w:val="00906FE0"/>
    <w:rsid w:val="009103DA"/>
    <w:rsid w:val="00910B9C"/>
    <w:rsid w:val="00910DA9"/>
    <w:rsid w:val="00911665"/>
    <w:rsid w:val="00911778"/>
    <w:rsid w:val="00911F62"/>
    <w:rsid w:val="0091234E"/>
    <w:rsid w:val="00913217"/>
    <w:rsid w:val="00913CDF"/>
    <w:rsid w:val="00913DBF"/>
    <w:rsid w:val="00913E93"/>
    <w:rsid w:val="00913F9F"/>
    <w:rsid w:val="009150CF"/>
    <w:rsid w:val="00915726"/>
    <w:rsid w:val="009161BC"/>
    <w:rsid w:val="00916D1C"/>
    <w:rsid w:val="00917F1C"/>
    <w:rsid w:val="0092051F"/>
    <w:rsid w:val="00920B56"/>
    <w:rsid w:val="00920DC2"/>
    <w:rsid w:val="00920F91"/>
    <w:rsid w:val="00921590"/>
    <w:rsid w:val="00922719"/>
    <w:rsid w:val="00922868"/>
    <w:rsid w:val="00922EC9"/>
    <w:rsid w:val="00923A23"/>
    <w:rsid w:val="00924773"/>
    <w:rsid w:val="00924778"/>
    <w:rsid w:val="00924866"/>
    <w:rsid w:val="00925860"/>
    <w:rsid w:val="00925B8D"/>
    <w:rsid w:val="00926243"/>
    <w:rsid w:val="009265FE"/>
    <w:rsid w:val="00926726"/>
    <w:rsid w:val="009272F1"/>
    <w:rsid w:val="00927F5F"/>
    <w:rsid w:val="009309E8"/>
    <w:rsid w:val="00930D71"/>
    <w:rsid w:val="00930EFF"/>
    <w:rsid w:val="00931082"/>
    <w:rsid w:val="0093144E"/>
    <w:rsid w:val="00931FA7"/>
    <w:rsid w:val="00932280"/>
    <w:rsid w:val="00932937"/>
    <w:rsid w:val="00932A3B"/>
    <w:rsid w:val="00932B14"/>
    <w:rsid w:val="00932D05"/>
    <w:rsid w:val="00932D0C"/>
    <w:rsid w:val="009331DB"/>
    <w:rsid w:val="0093350F"/>
    <w:rsid w:val="00933E50"/>
    <w:rsid w:val="0093435A"/>
    <w:rsid w:val="009354FA"/>
    <w:rsid w:val="0093680E"/>
    <w:rsid w:val="0093696B"/>
    <w:rsid w:val="0093714E"/>
    <w:rsid w:val="00937631"/>
    <w:rsid w:val="00937874"/>
    <w:rsid w:val="00940125"/>
    <w:rsid w:val="00940861"/>
    <w:rsid w:val="0094096E"/>
    <w:rsid w:val="00940B7A"/>
    <w:rsid w:val="00941355"/>
    <w:rsid w:val="009415BB"/>
    <w:rsid w:val="00941EE4"/>
    <w:rsid w:val="009429A6"/>
    <w:rsid w:val="009434D1"/>
    <w:rsid w:val="00943763"/>
    <w:rsid w:val="00943E11"/>
    <w:rsid w:val="00944048"/>
    <w:rsid w:val="0094407B"/>
    <w:rsid w:val="0094451D"/>
    <w:rsid w:val="009446E4"/>
    <w:rsid w:val="009447AA"/>
    <w:rsid w:val="00945686"/>
    <w:rsid w:val="00945B31"/>
    <w:rsid w:val="00945FAF"/>
    <w:rsid w:val="0094607E"/>
    <w:rsid w:val="00947156"/>
    <w:rsid w:val="0094767D"/>
    <w:rsid w:val="009501A1"/>
    <w:rsid w:val="00950678"/>
    <w:rsid w:val="009506DC"/>
    <w:rsid w:val="009507E2"/>
    <w:rsid w:val="0095100F"/>
    <w:rsid w:val="00951171"/>
    <w:rsid w:val="009513D4"/>
    <w:rsid w:val="00951CCC"/>
    <w:rsid w:val="00952630"/>
    <w:rsid w:val="009526A2"/>
    <w:rsid w:val="00952DBF"/>
    <w:rsid w:val="00952EB1"/>
    <w:rsid w:val="00953996"/>
    <w:rsid w:val="009542D9"/>
    <w:rsid w:val="0095523B"/>
    <w:rsid w:val="00956875"/>
    <w:rsid w:val="0095698C"/>
    <w:rsid w:val="00956C33"/>
    <w:rsid w:val="00956E87"/>
    <w:rsid w:val="00957003"/>
    <w:rsid w:val="00960145"/>
    <w:rsid w:val="00960B3B"/>
    <w:rsid w:val="00960B5E"/>
    <w:rsid w:val="009610B7"/>
    <w:rsid w:val="009614C7"/>
    <w:rsid w:val="00961C2D"/>
    <w:rsid w:val="00962087"/>
    <w:rsid w:val="0096215C"/>
    <w:rsid w:val="0096250B"/>
    <w:rsid w:val="00962E98"/>
    <w:rsid w:val="00963826"/>
    <w:rsid w:val="009649B4"/>
    <w:rsid w:val="00965F0F"/>
    <w:rsid w:val="009663DC"/>
    <w:rsid w:val="00966455"/>
    <w:rsid w:val="00966BD4"/>
    <w:rsid w:val="00970028"/>
    <w:rsid w:val="00971054"/>
    <w:rsid w:val="00971303"/>
    <w:rsid w:val="00971579"/>
    <w:rsid w:val="00971AB0"/>
    <w:rsid w:val="00971C62"/>
    <w:rsid w:val="009725F3"/>
    <w:rsid w:val="00972ED9"/>
    <w:rsid w:val="0097310A"/>
    <w:rsid w:val="00974336"/>
    <w:rsid w:val="0097475C"/>
    <w:rsid w:val="00975843"/>
    <w:rsid w:val="00976E5A"/>
    <w:rsid w:val="009779B6"/>
    <w:rsid w:val="009817B9"/>
    <w:rsid w:val="00981EF2"/>
    <w:rsid w:val="00983136"/>
    <w:rsid w:val="00983D9A"/>
    <w:rsid w:val="00984580"/>
    <w:rsid w:val="009853A8"/>
    <w:rsid w:val="00985612"/>
    <w:rsid w:val="009864F3"/>
    <w:rsid w:val="00986F04"/>
    <w:rsid w:val="00987234"/>
    <w:rsid w:val="00990535"/>
    <w:rsid w:val="00990B21"/>
    <w:rsid w:val="009915D3"/>
    <w:rsid w:val="00992327"/>
    <w:rsid w:val="009925A2"/>
    <w:rsid w:val="0099335F"/>
    <w:rsid w:val="00993689"/>
    <w:rsid w:val="0099386E"/>
    <w:rsid w:val="00993BB1"/>
    <w:rsid w:val="00993C75"/>
    <w:rsid w:val="0099537A"/>
    <w:rsid w:val="00995536"/>
    <w:rsid w:val="009972F2"/>
    <w:rsid w:val="009979A0"/>
    <w:rsid w:val="009A0716"/>
    <w:rsid w:val="009A0B39"/>
    <w:rsid w:val="009A0BBC"/>
    <w:rsid w:val="009A2613"/>
    <w:rsid w:val="009A3014"/>
    <w:rsid w:val="009A30A9"/>
    <w:rsid w:val="009A3507"/>
    <w:rsid w:val="009A39EC"/>
    <w:rsid w:val="009A4EC6"/>
    <w:rsid w:val="009A56FA"/>
    <w:rsid w:val="009A5E9D"/>
    <w:rsid w:val="009A6977"/>
    <w:rsid w:val="009A7391"/>
    <w:rsid w:val="009A766E"/>
    <w:rsid w:val="009B00E8"/>
    <w:rsid w:val="009B0610"/>
    <w:rsid w:val="009B064F"/>
    <w:rsid w:val="009B0724"/>
    <w:rsid w:val="009B094A"/>
    <w:rsid w:val="009B0C86"/>
    <w:rsid w:val="009B2C29"/>
    <w:rsid w:val="009B388C"/>
    <w:rsid w:val="009B3DB6"/>
    <w:rsid w:val="009B4926"/>
    <w:rsid w:val="009B4E53"/>
    <w:rsid w:val="009B5087"/>
    <w:rsid w:val="009B6D61"/>
    <w:rsid w:val="009B71CB"/>
    <w:rsid w:val="009B7833"/>
    <w:rsid w:val="009C07C4"/>
    <w:rsid w:val="009C1CC1"/>
    <w:rsid w:val="009C1F90"/>
    <w:rsid w:val="009C235C"/>
    <w:rsid w:val="009C333E"/>
    <w:rsid w:val="009C34B9"/>
    <w:rsid w:val="009C4352"/>
    <w:rsid w:val="009C43CB"/>
    <w:rsid w:val="009C43E7"/>
    <w:rsid w:val="009C548D"/>
    <w:rsid w:val="009C584F"/>
    <w:rsid w:val="009C6791"/>
    <w:rsid w:val="009C78AF"/>
    <w:rsid w:val="009C7E9A"/>
    <w:rsid w:val="009D03E0"/>
    <w:rsid w:val="009D0FF1"/>
    <w:rsid w:val="009D1054"/>
    <w:rsid w:val="009D1110"/>
    <w:rsid w:val="009D1D44"/>
    <w:rsid w:val="009D1FAD"/>
    <w:rsid w:val="009D2324"/>
    <w:rsid w:val="009D279D"/>
    <w:rsid w:val="009D6589"/>
    <w:rsid w:val="009E02B9"/>
    <w:rsid w:val="009E0336"/>
    <w:rsid w:val="009E041A"/>
    <w:rsid w:val="009E264E"/>
    <w:rsid w:val="009E2C73"/>
    <w:rsid w:val="009E2CC9"/>
    <w:rsid w:val="009E383F"/>
    <w:rsid w:val="009E3EE6"/>
    <w:rsid w:val="009E497E"/>
    <w:rsid w:val="009E7672"/>
    <w:rsid w:val="009F0D78"/>
    <w:rsid w:val="009F0EF6"/>
    <w:rsid w:val="009F2143"/>
    <w:rsid w:val="009F29CF"/>
    <w:rsid w:val="009F361E"/>
    <w:rsid w:val="009F3B0C"/>
    <w:rsid w:val="009F476F"/>
    <w:rsid w:val="009F548E"/>
    <w:rsid w:val="009F5678"/>
    <w:rsid w:val="009F5B0A"/>
    <w:rsid w:val="009F5EC5"/>
    <w:rsid w:val="009F62C2"/>
    <w:rsid w:val="009F639F"/>
    <w:rsid w:val="009F6F09"/>
    <w:rsid w:val="009F7959"/>
    <w:rsid w:val="009F7E53"/>
    <w:rsid w:val="00A0002B"/>
    <w:rsid w:val="00A0110E"/>
    <w:rsid w:val="00A01EC0"/>
    <w:rsid w:val="00A01F42"/>
    <w:rsid w:val="00A0217E"/>
    <w:rsid w:val="00A02C1D"/>
    <w:rsid w:val="00A0307C"/>
    <w:rsid w:val="00A034CC"/>
    <w:rsid w:val="00A05024"/>
    <w:rsid w:val="00A0502C"/>
    <w:rsid w:val="00A05D9D"/>
    <w:rsid w:val="00A05E38"/>
    <w:rsid w:val="00A06A8A"/>
    <w:rsid w:val="00A06F17"/>
    <w:rsid w:val="00A076E0"/>
    <w:rsid w:val="00A07930"/>
    <w:rsid w:val="00A118B1"/>
    <w:rsid w:val="00A11A2D"/>
    <w:rsid w:val="00A1233A"/>
    <w:rsid w:val="00A12384"/>
    <w:rsid w:val="00A13B8B"/>
    <w:rsid w:val="00A1418C"/>
    <w:rsid w:val="00A1425F"/>
    <w:rsid w:val="00A15220"/>
    <w:rsid w:val="00A152EB"/>
    <w:rsid w:val="00A15367"/>
    <w:rsid w:val="00A16334"/>
    <w:rsid w:val="00A170E0"/>
    <w:rsid w:val="00A173B2"/>
    <w:rsid w:val="00A17D37"/>
    <w:rsid w:val="00A209B6"/>
    <w:rsid w:val="00A21960"/>
    <w:rsid w:val="00A22461"/>
    <w:rsid w:val="00A22DD6"/>
    <w:rsid w:val="00A2563F"/>
    <w:rsid w:val="00A2581D"/>
    <w:rsid w:val="00A259D4"/>
    <w:rsid w:val="00A2651B"/>
    <w:rsid w:val="00A26C50"/>
    <w:rsid w:val="00A2728E"/>
    <w:rsid w:val="00A30239"/>
    <w:rsid w:val="00A308D5"/>
    <w:rsid w:val="00A30C4C"/>
    <w:rsid w:val="00A30CBB"/>
    <w:rsid w:val="00A30D29"/>
    <w:rsid w:val="00A31682"/>
    <w:rsid w:val="00A3184D"/>
    <w:rsid w:val="00A31F3B"/>
    <w:rsid w:val="00A32506"/>
    <w:rsid w:val="00A32E85"/>
    <w:rsid w:val="00A32FF8"/>
    <w:rsid w:val="00A3303C"/>
    <w:rsid w:val="00A3304E"/>
    <w:rsid w:val="00A34234"/>
    <w:rsid w:val="00A346A6"/>
    <w:rsid w:val="00A34C68"/>
    <w:rsid w:val="00A352AF"/>
    <w:rsid w:val="00A357F9"/>
    <w:rsid w:val="00A35834"/>
    <w:rsid w:val="00A35BEA"/>
    <w:rsid w:val="00A369A2"/>
    <w:rsid w:val="00A406DE"/>
    <w:rsid w:val="00A40746"/>
    <w:rsid w:val="00A409E8"/>
    <w:rsid w:val="00A41C21"/>
    <w:rsid w:val="00A41F7C"/>
    <w:rsid w:val="00A422AC"/>
    <w:rsid w:val="00A424F2"/>
    <w:rsid w:val="00A42CEB"/>
    <w:rsid w:val="00A444A9"/>
    <w:rsid w:val="00A448BD"/>
    <w:rsid w:val="00A448D1"/>
    <w:rsid w:val="00A459A5"/>
    <w:rsid w:val="00A45C00"/>
    <w:rsid w:val="00A45D72"/>
    <w:rsid w:val="00A45F32"/>
    <w:rsid w:val="00A46268"/>
    <w:rsid w:val="00A46D76"/>
    <w:rsid w:val="00A46DF3"/>
    <w:rsid w:val="00A46FC9"/>
    <w:rsid w:val="00A50872"/>
    <w:rsid w:val="00A50B19"/>
    <w:rsid w:val="00A50DBE"/>
    <w:rsid w:val="00A518F4"/>
    <w:rsid w:val="00A519F2"/>
    <w:rsid w:val="00A51AB8"/>
    <w:rsid w:val="00A52C15"/>
    <w:rsid w:val="00A52CC2"/>
    <w:rsid w:val="00A53171"/>
    <w:rsid w:val="00A532A9"/>
    <w:rsid w:val="00A5352B"/>
    <w:rsid w:val="00A53CDB"/>
    <w:rsid w:val="00A541C6"/>
    <w:rsid w:val="00A5481F"/>
    <w:rsid w:val="00A5496E"/>
    <w:rsid w:val="00A56356"/>
    <w:rsid w:val="00A56598"/>
    <w:rsid w:val="00A5662D"/>
    <w:rsid w:val="00A566B9"/>
    <w:rsid w:val="00A577AF"/>
    <w:rsid w:val="00A577F6"/>
    <w:rsid w:val="00A60681"/>
    <w:rsid w:val="00A60F6C"/>
    <w:rsid w:val="00A60F7D"/>
    <w:rsid w:val="00A6104C"/>
    <w:rsid w:val="00A616F3"/>
    <w:rsid w:val="00A61EB3"/>
    <w:rsid w:val="00A6276F"/>
    <w:rsid w:val="00A62C7E"/>
    <w:rsid w:val="00A62DA4"/>
    <w:rsid w:val="00A63055"/>
    <w:rsid w:val="00A63182"/>
    <w:rsid w:val="00A631FE"/>
    <w:rsid w:val="00A639F5"/>
    <w:rsid w:val="00A63F2C"/>
    <w:rsid w:val="00A64485"/>
    <w:rsid w:val="00A64888"/>
    <w:rsid w:val="00A64910"/>
    <w:rsid w:val="00A64A38"/>
    <w:rsid w:val="00A64A82"/>
    <w:rsid w:val="00A64B8D"/>
    <w:rsid w:val="00A661B8"/>
    <w:rsid w:val="00A673E9"/>
    <w:rsid w:val="00A67E45"/>
    <w:rsid w:val="00A70063"/>
    <w:rsid w:val="00A7075B"/>
    <w:rsid w:val="00A70B28"/>
    <w:rsid w:val="00A7113E"/>
    <w:rsid w:val="00A715A7"/>
    <w:rsid w:val="00A7323C"/>
    <w:rsid w:val="00A74BF9"/>
    <w:rsid w:val="00A74D7E"/>
    <w:rsid w:val="00A74E3F"/>
    <w:rsid w:val="00A7661B"/>
    <w:rsid w:val="00A77585"/>
    <w:rsid w:val="00A80E0A"/>
    <w:rsid w:val="00A810AD"/>
    <w:rsid w:val="00A815B3"/>
    <w:rsid w:val="00A81810"/>
    <w:rsid w:val="00A82239"/>
    <w:rsid w:val="00A82552"/>
    <w:rsid w:val="00A825F1"/>
    <w:rsid w:val="00A829FC"/>
    <w:rsid w:val="00A82BCA"/>
    <w:rsid w:val="00A83D27"/>
    <w:rsid w:val="00A8458F"/>
    <w:rsid w:val="00A84610"/>
    <w:rsid w:val="00A86457"/>
    <w:rsid w:val="00A87B52"/>
    <w:rsid w:val="00A9106C"/>
    <w:rsid w:val="00A91283"/>
    <w:rsid w:val="00A917B8"/>
    <w:rsid w:val="00A920D1"/>
    <w:rsid w:val="00A92A10"/>
    <w:rsid w:val="00A93554"/>
    <w:rsid w:val="00A93B2B"/>
    <w:rsid w:val="00A9449C"/>
    <w:rsid w:val="00A948B6"/>
    <w:rsid w:val="00A948C6"/>
    <w:rsid w:val="00A94992"/>
    <w:rsid w:val="00A96119"/>
    <w:rsid w:val="00A9629C"/>
    <w:rsid w:val="00A96EB9"/>
    <w:rsid w:val="00A97C5F"/>
    <w:rsid w:val="00A97DAB"/>
    <w:rsid w:val="00A97EA1"/>
    <w:rsid w:val="00AA06B3"/>
    <w:rsid w:val="00AA0897"/>
    <w:rsid w:val="00AA0C10"/>
    <w:rsid w:val="00AA163C"/>
    <w:rsid w:val="00AA2959"/>
    <w:rsid w:val="00AA2994"/>
    <w:rsid w:val="00AA2C49"/>
    <w:rsid w:val="00AA3775"/>
    <w:rsid w:val="00AA391E"/>
    <w:rsid w:val="00AA41C0"/>
    <w:rsid w:val="00AA4B72"/>
    <w:rsid w:val="00AA51E0"/>
    <w:rsid w:val="00AA5C2C"/>
    <w:rsid w:val="00AA5D96"/>
    <w:rsid w:val="00AA5E02"/>
    <w:rsid w:val="00AA64A4"/>
    <w:rsid w:val="00AA708C"/>
    <w:rsid w:val="00AA7160"/>
    <w:rsid w:val="00AA7F7B"/>
    <w:rsid w:val="00AB0023"/>
    <w:rsid w:val="00AB0767"/>
    <w:rsid w:val="00AB07D8"/>
    <w:rsid w:val="00AB10EC"/>
    <w:rsid w:val="00AB24A6"/>
    <w:rsid w:val="00AB2A10"/>
    <w:rsid w:val="00AB47A9"/>
    <w:rsid w:val="00AB4C10"/>
    <w:rsid w:val="00AB6561"/>
    <w:rsid w:val="00AB6E3D"/>
    <w:rsid w:val="00AC0438"/>
    <w:rsid w:val="00AC0860"/>
    <w:rsid w:val="00AC18D4"/>
    <w:rsid w:val="00AC199E"/>
    <w:rsid w:val="00AC30B5"/>
    <w:rsid w:val="00AC372F"/>
    <w:rsid w:val="00AC38C7"/>
    <w:rsid w:val="00AC5595"/>
    <w:rsid w:val="00AC63DF"/>
    <w:rsid w:val="00AC6DA8"/>
    <w:rsid w:val="00AC6DF3"/>
    <w:rsid w:val="00AC6F99"/>
    <w:rsid w:val="00AC7228"/>
    <w:rsid w:val="00AC76C4"/>
    <w:rsid w:val="00AC7E88"/>
    <w:rsid w:val="00AD05F9"/>
    <w:rsid w:val="00AD12A1"/>
    <w:rsid w:val="00AD16DA"/>
    <w:rsid w:val="00AD19B7"/>
    <w:rsid w:val="00AD1AE4"/>
    <w:rsid w:val="00AD4019"/>
    <w:rsid w:val="00AD4FBA"/>
    <w:rsid w:val="00AD506A"/>
    <w:rsid w:val="00AD54EA"/>
    <w:rsid w:val="00AD5535"/>
    <w:rsid w:val="00AD5B13"/>
    <w:rsid w:val="00AD5DBF"/>
    <w:rsid w:val="00AD6410"/>
    <w:rsid w:val="00AD7086"/>
    <w:rsid w:val="00AD769D"/>
    <w:rsid w:val="00AD7712"/>
    <w:rsid w:val="00AE051E"/>
    <w:rsid w:val="00AE1002"/>
    <w:rsid w:val="00AE10C3"/>
    <w:rsid w:val="00AE1155"/>
    <w:rsid w:val="00AE121D"/>
    <w:rsid w:val="00AE1F8D"/>
    <w:rsid w:val="00AE2086"/>
    <w:rsid w:val="00AE282B"/>
    <w:rsid w:val="00AE2D23"/>
    <w:rsid w:val="00AE2E10"/>
    <w:rsid w:val="00AE2F76"/>
    <w:rsid w:val="00AE4440"/>
    <w:rsid w:val="00AE4613"/>
    <w:rsid w:val="00AE61F9"/>
    <w:rsid w:val="00AE69C0"/>
    <w:rsid w:val="00AE7DC2"/>
    <w:rsid w:val="00AF064D"/>
    <w:rsid w:val="00AF0B3A"/>
    <w:rsid w:val="00AF1012"/>
    <w:rsid w:val="00AF1899"/>
    <w:rsid w:val="00AF19C3"/>
    <w:rsid w:val="00AF1C36"/>
    <w:rsid w:val="00AF1C81"/>
    <w:rsid w:val="00AF2026"/>
    <w:rsid w:val="00AF218F"/>
    <w:rsid w:val="00AF2E1D"/>
    <w:rsid w:val="00AF2F42"/>
    <w:rsid w:val="00AF3166"/>
    <w:rsid w:val="00AF3E3C"/>
    <w:rsid w:val="00AF426F"/>
    <w:rsid w:val="00AF431A"/>
    <w:rsid w:val="00AF4858"/>
    <w:rsid w:val="00AF5225"/>
    <w:rsid w:val="00AF56C1"/>
    <w:rsid w:val="00AF5A26"/>
    <w:rsid w:val="00AF6532"/>
    <w:rsid w:val="00AF6B69"/>
    <w:rsid w:val="00AF6EBE"/>
    <w:rsid w:val="00AF7AAD"/>
    <w:rsid w:val="00B0001F"/>
    <w:rsid w:val="00B00097"/>
    <w:rsid w:val="00B00663"/>
    <w:rsid w:val="00B006C0"/>
    <w:rsid w:val="00B00979"/>
    <w:rsid w:val="00B00BE3"/>
    <w:rsid w:val="00B00CE9"/>
    <w:rsid w:val="00B01D93"/>
    <w:rsid w:val="00B024B1"/>
    <w:rsid w:val="00B027EE"/>
    <w:rsid w:val="00B038F7"/>
    <w:rsid w:val="00B03D4A"/>
    <w:rsid w:val="00B0416F"/>
    <w:rsid w:val="00B04AD8"/>
    <w:rsid w:val="00B04F53"/>
    <w:rsid w:val="00B0566A"/>
    <w:rsid w:val="00B067F8"/>
    <w:rsid w:val="00B06C61"/>
    <w:rsid w:val="00B07618"/>
    <w:rsid w:val="00B07B14"/>
    <w:rsid w:val="00B07CF6"/>
    <w:rsid w:val="00B07DC4"/>
    <w:rsid w:val="00B10634"/>
    <w:rsid w:val="00B110C9"/>
    <w:rsid w:val="00B12794"/>
    <w:rsid w:val="00B13434"/>
    <w:rsid w:val="00B13849"/>
    <w:rsid w:val="00B138AA"/>
    <w:rsid w:val="00B13BD7"/>
    <w:rsid w:val="00B14642"/>
    <w:rsid w:val="00B157A3"/>
    <w:rsid w:val="00B167B3"/>
    <w:rsid w:val="00B16A1B"/>
    <w:rsid w:val="00B16A28"/>
    <w:rsid w:val="00B16ACB"/>
    <w:rsid w:val="00B17E30"/>
    <w:rsid w:val="00B2030F"/>
    <w:rsid w:val="00B20B16"/>
    <w:rsid w:val="00B20B1F"/>
    <w:rsid w:val="00B215FF"/>
    <w:rsid w:val="00B21BF9"/>
    <w:rsid w:val="00B21D77"/>
    <w:rsid w:val="00B23287"/>
    <w:rsid w:val="00B23B40"/>
    <w:rsid w:val="00B23BC3"/>
    <w:rsid w:val="00B24375"/>
    <w:rsid w:val="00B24B46"/>
    <w:rsid w:val="00B24B84"/>
    <w:rsid w:val="00B2529A"/>
    <w:rsid w:val="00B2668C"/>
    <w:rsid w:val="00B26E60"/>
    <w:rsid w:val="00B27CB6"/>
    <w:rsid w:val="00B300E5"/>
    <w:rsid w:val="00B3027A"/>
    <w:rsid w:val="00B311A5"/>
    <w:rsid w:val="00B31317"/>
    <w:rsid w:val="00B31555"/>
    <w:rsid w:val="00B319D2"/>
    <w:rsid w:val="00B31AFB"/>
    <w:rsid w:val="00B31F7F"/>
    <w:rsid w:val="00B326C6"/>
    <w:rsid w:val="00B32731"/>
    <w:rsid w:val="00B33271"/>
    <w:rsid w:val="00B33504"/>
    <w:rsid w:val="00B33692"/>
    <w:rsid w:val="00B33805"/>
    <w:rsid w:val="00B3462D"/>
    <w:rsid w:val="00B351FF"/>
    <w:rsid w:val="00B3665C"/>
    <w:rsid w:val="00B375DF"/>
    <w:rsid w:val="00B40034"/>
    <w:rsid w:val="00B40E77"/>
    <w:rsid w:val="00B410AC"/>
    <w:rsid w:val="00B412AA"/>
    <w:rsid w:val="00B416D3"/>
    <w:rsid w:val="00B42082"/>
    <w:rsid w:val="00B42327"/>
    <w:rsid w:val="00B42FFF"/>
    <w:rsid w:val="00B443F0"/>
    <w:rsid w:val="00B4467B"/>
    <w:rsid w:val="00B4509F"/>
    <w:rsid w:val="00B456C4"/>
    <w:rsid w:val="00B4601B"/>
    <w:rsid w:val="00B4625D"/>
    <w:rsid w:val="00B464E0"/>
    <w:rsid w:val="00B4668A"/>
    <w:rsid w:val="00B467FF"/>
    <w:rsid w:val="00B46AB2"/>
    <w:rsid w:val="00B46B50"/>
    <w:rsid w:val="00B46C79"/>
    <w:rsid w:val="00B47274"/>
    <w:rsid w:val="00B47428"/>
    <w:rsid w:val="00B47EC3"/>
    <w:rsid w:val="00B501C2"/>
    <w:rsid w:val="00B50249"/>
    <w:rsid w:val="00B51757"/>
    <w:rsid w:val="00B51FD3"/>
    <w:rsid w:val="00B523A0"/>
    <w:rsid w:val="00B546F9"/>
    <w:rsid w:val="00B55107"/>
    <w:rsid w:val="00B5517A"/>
    <w:rsid w:val="00B55509"/>
    <w:rsid w:val="00B555B7"/>
    <w:rsid w:val="00B55AE3"/>
    <w:rsid w:val="00B5667A"/>
    <w:rsid w:val="00B56A4D"/>
    <w:rsid w:val="00B56DF0"/>
    <w:rsid w:val="00B575CD"/>
    <w:rsid w:val="00B576AF"/>
    <w:rsid w:val="00B600CB"/>
    <w:rsid w:val="00B60411"/>
    <w:rsid w:val="00B60464"/>
    <w:rsid w:val="00B60C78"/>
    <w:rsid w:val="00B60C9F"/>
    <w:rsid w:val="00B61BEC"/>
    <w:rsid w:val="00B61E25"/>
    <w:rsid w:val="00B61E35"/>
    <w:rsid w:val="00B61EF4"/>
    <w:rsid w:val="00B6297F"/>
    <w:rsid w:val="00B62BDD"/>
    <w:rsid w:val="00B6322A"/>
    <w:rsid w:val="00B63429"/>
    <w:rsid w:val="00B634B7"/>
    <w:rsid w:val="00B637E2"/>
    <w:rsid w:val="00B63815"/>
    <w:rsid w:val="00B63E2C"/>
    <w:rsid w:val="00B63F3F"/>
    <w:rsid w:val="00B64B51"/>
    <w:rsid w:val="00B653C7"/>
    <w:rsid w:val="00B654CF"/>
    <w:rsid w:val="00B65CD1"/>
    <w:rsid w:val="00B66B08"/>
    <w:rsid w:val="00B66E86"/>
    <w:rsid w:val="00B66EA2"/>
    <w:rsid w:val="00B66ED6"/>
    <w:rsid w:val="00B67CF7"/>
    <w:rsid w:val="00B706BF"/>
    <w:rsid w:val="00B711E7"/>
    <w:rsid w:val="00B71770"/>
    <w:rsid w:val="00B717FA"/>
    <w:rsid w:val="00B71888"/>
    <w:rsid w:val="00B718D3"/>
    <w:rsid w:val="00B719D7"/>
    <w:rsid w:val="00B71C50"/>
    <w:rsid w:val="00B726EA"/>
    <w:rsid w:val="00B72738"/>
    <w:rsid w:val="00B728E3"/>
    <w:rsid w:val="00B72F94"/>
    <w:rsid w:val="00B73550"/>
    <w:rsid w:val="00B739A4"/>
    <w:rsid w:val="00B73F79"/>
    <w:rsid w:val="00B75A94"/>
    <w:rsid w:val="00B764A4"/>
    <w:rsid w:val="00B766F4"/>
    <w:rsid w:val="00B7690E"/>
    <w:rsid w:val="00B77201"/>
    <w:rsid w:val="00B77FBB"/>
    <w:rsid w:val="00B805BC"/>
    <w:rsid w:val="00B80D9C"/>
    <w:rsid w:val="00B81C27"/>
    <w:rsid w:val="00B81E77"/>
    <w:rsid w:val="00B81F98"/>
    <w:rsid w:val="00B82004"/>
    <w:rsid w:val="00B84078"/>
    <w:rsid w:val="00B847C8"/>
    <w:rsid w:val="00B84D19"/>
    <w:rsid w:val="00B85224"/>
    <w:rsid w:val="00B8568C"/>
    <w:rsid w:val="00B8573E"/>
    <w:rsid w:val="00B86F87"/>
    <w:rsid w:val="00B87246"/>
    <w:rsid w:val="00B90281"/>
    <w:rsid w:val="00B9096D"/>
    <w:rsid w:val="00B90A28"/>
    <w:rsid w:val="00B911FF"/>
    <w:rsid w:val="00B9132F"/>
    <w:rsid w:val="00B9191B"/>
    <w:rsid w:val="00B91BA0"/>
    <w:rsid w:val="00B91BB2"/>
    <w:rsid w:val="00B91DC8"/>
    <w:rsid w:val="00B92DBB"/>
    <w:rsid w:val="00B930D1"/>
    <w:rsid w:val="00B93A67"/>
    <w:rsid w:val="00B941E8"/>
    <w:rsid w:val="00B94BE1"/>
    <w:rsid w:val="00B94F90"/>
    <w:rsid w:val="00B956C0"/>
    <w:rsid w:val="00B96345"/>
    <w:rsid w:val="00B96808"/>
    <w:rsid w:val="00B96AB4"/>
    <w:rsid w:val="00BA03A5"/>
    <w:rsid w:val="00BA0B3B"/>
    <w:rsid w:val="00BA1423"/>
    <w:rsid w:val="00BA2431"/>
    <w:rsid w:val="00BA280D"/>
    <w:rsid w:val="00BA2A70"/>
    <w:rsid w:val="00BA34A9"/>
    <w:rsid w:val="00BA35A9"/>
    <w:rsid w:val="00BA5A74"/>
    <w:rsid w:val="00BA5E33"/>
    <w:rsid w:val="00BA60FA"/>
    <w:rsid w:val="00BA65F5"/>
    <w:rsid w:val="00BA6C13"/>
    <w:rsid w:val="00BA6FB7"/>
    <w:rsid w:val="00BA76D5"/>
    <w:rsid w:val="00BA7FD3"/>
    <w:rsid w:val="00BB0139"/>
    <w:rsid w:val="00BB05CF"/>
    <w:rsid w:val="00BB0815"/>
    <w:rsid w:val="00BB12EC"/>
    <w:rsid w:val="00BB1453"/>
    <w:rsid w:val="00BB2186"/>
    <w:rsid w:val="00BB2DCC"/>
    <w:rsid w:val="00BB309F"/>
    <w:rsid w:val="00BB30FD"/>
    <w:rsid w:val="00BB367B"/>
    <w:rsid w:val="00BB45D3"/>
    <w:rsid w:val="00BB4C24"/>
    <w:rsid w:val="00BB4E43"/>
    <w:rsid w:val="00BB52E7"/>
    <w:rsid w:val="00BB5A8B"/>
    <w:rsid w:val="00BB5B85"/>
    <w:rsid w:val="00BB5B8E"/>
    <w:rsid w:val="00BB6108"/>
    <w:rsid w:val="00BB6436"/>
    <w:rsid w:val="00BB667C"/>
    <w:rsid w:val="00BB6756"/>
    <w:rsid w:val="00BB693D"/>
    <w:rsid w:val="00BB75AB"/>
    <w:rsid w:val="00BB76E9"/>
    <w:rsid w:val="00BB7D4B"/>
    <w:rsid w:val="00BC0DD7"/>
    <w:rsid w:val="00BC14FD"/>
    <w:rsid w:val="00BC150A"/>
    <w:rsid w:val="00BC1926"/>
    <w:rsid w:val="00BC199D"/>
    <w:rsid w:val="00BC483C"/>
    <w:rsid w:val="00BC4B32"/>
    <w:rsid w:val="00BC5284"/>
    <w:rsid w:val="00BC53F1"/>
    <w:rsid w:val="00BC554A"/>
    <w:rsid w:val="00BC7011"/>
    <w:rsid w:val="00BC71B3"/>
    <w:rsid w:val="00BC7374"/>
    <w:rsid w:val="00BD01B5"/>
    <w:rsid w:val="00BD01CF"/>
    <w:rsid w:val="00BD039F"/>
    <w:rsid w:val="00BD09DA"/>
    <w:rsid w:val="00BD0B28"/>
    <w:rsid w:val="00BD2DB1"/>
    <w:rsid w:val="00BD417C"/>
    <w:rsid w:val="00BD5999"/>
    <w:rsid w:val="00BD5F9B"/>
    <w:rsid w:val="00BD6363"/>
    <w:rsid w:val="00BD66D4"/>
    <w:rsid w:val="00BE0C04"/>
    <w:rsid w:val="00BE0D65"/>
    <w:rsid w:val="00BE0E1A"/>
    <w:rsid w:val="00BE0E35"/>
    <w:rsid w:val="00BE1D51"/>
    <w:rsid w:val="00BE2A59"/>
    <w:rsid w:val="00BE36F6"/>
    <w:rsid w:val="00BE39CD"/>
    <w:rsid w:val="00BE5488"/>
    <w:rsid w:val="00BE641C"/>
    <w:rsid w:val="00BE6624"/>
    <w:rsid w:val="00BE7364"/>
    <w:rsid w:val="00BE7BC1"/>
    <w:rsid w:val="00BF0890"/>
    <w:rsid w:val="00BF0EC7"/>
    <w:rsid w:val="00BF0F22"/>
    <w:rsid w:val="00BF133D"/>
    <w:rsid w:val="00BF141D"/>
    <w:rsid w:val="00BF18D8"/>
    <w:rsid w:val="00BF2EDE"/>
    <w:rsid w:val="00BF3A55"/>
    <w:rsid w:val="00BF3A5F"/>
    <w:rsid w:val="00BF3EA3"/>
    <w:rsid w:val="00BF408B"/>
    <w:rsid w:val="00BF4A92"/>
    <w:rsid w:val="00BF5498"/>
    <w:rsid w:val="00BF64C2"/>
    <w:rsid w:val="00BF77CE"/>
    <w:rsid w:val="00C005F4"/>
    <w:rsid w:val="00C00A76"/>
    <w:rsid w:val="00C00BA3"/>
    <w:rsid w:val="00C00C85"/>
    <w:rsid w:val="00C00E7C"/>
    <w:rsid w:val="00C00F0F"/>
    <w:rsid w:val="00C010E5"/>
    <w:rsid w:val="00C01C6A"/>
    <w:rsid w:val="00C02069"/>
    <w:rsid w:val="00C02144"/>
    <w:rsid w:val="00C02B66"/>
    <w:rsid w:val="00C02BBE"/>
    <w:rsid w:val="00C034EC"/>
    <w:rsid w:val="00C03AFE"/>
    <w:rsid w:val="00C0414D"/>
    <w:rsid w:val="00C04633"/>
    <w:rsid w:val="00C04F7C"/>
    <w:rsid w:val="00C05AFB"/>
    <w:rsid w:val="00C06185"/>
    <w:rsid w:val="00C06F18"/>
    <w:rsid w:val="00C0727A"/>
    <w:rsid w:val="00C074FB"/>
    <w:rsid w:val="00C07A02"/>
    <w:rsid w:val="00C07B77"/>
    <w:rsid w:val="00C10CA2"/>
    <w:rsid w:val="00C112DE"/>
    <w:rsid w:val="00C11A36"/>
    <w:rsid w:val="00C1201C"/>
    <w:rsid w:val="00C12186"/>
    <w:rsid w:val="00C12D75"/>
    <w:rsid w:val="00C137B6"/>
    <w:rsid w:val="00C13E3A"/>
    <w:rsid w:val="00C14C68"/>
    <w:rsid w:val="00C14F53"/>
    <w:rsid w:val="00C15187"/>
    <w:rsid w:val="00C15DF3"/>
    <w:rsid w:val="00C15EEC"/>
    <w:rsid w:val="00C16273"/>
    <w:rsid w:val="00C16799"/>
    <w:rsid w:val="00C172D3"/>
    <w:rsid w:val="00C172D7"/>
    <w:rsid w:val="00C20134"/>
    <w:rsid w:val="00C202B3"/>
    <w:rsid w:val="00C2198A"/>
    <w:rsid w:val="00C21D26"/>
    <w:rsid w:val="00C21FE2"/>
    <w:rsid w:val="00C222BF"/>
    <w:rsid w:val="00C2325D"/>
    <w:rsid w:val="00C23A5D"/>
    <w:rsid w:val="00C23A68"/>
    <w:rsid w:val="00C24E0C"/>
    <w:rsid w:val="00C25D95"/>
    <w:rsid w:val="00C26668"/>
    <w:rsid w:val="00C27605"/>
    <w:rsid w:val="00C279C9"/>
    <w:rsid w:val="00C27D2E"/>
    <w:rsid w:val="00C30B74"/>
    <w:rsid w:val="00C31277"/>
    <w:rsid w:val="00C318C4"/>
    <w:rsid w:val="00C319DE"/>
    <w:rsid w:val="00C31C88"/>
    <w:rsid w:val="00C32721"/>
    <w:rsid w:val="00C333B1"/>
    <w:rsid w:val="00C3363A"/>
    <w:rsid w:val="00C34283"/>
    <w:rsid w:val="00C3471F"/>
    <w:rsid w:val="00C34A10"/>
    <w:rsid w:val="00C34A5E"/>
    <w:rsid w:val="00C357BC"/>
    <w:rsid w:val="00C3592E"/>
    <w:rsid w:val="00C35CE1"/>
    <w:rsid w:val="00C3605C"/>
    <w:rsid w:val="00C36DB0"/>
    <w:rsid w:val="00C36F93"/>
    <w:rsid w:val="00C3753E"/>
    <w:rsid w:val="00C37C26"/>
    <w:rsid w:val="00C4004E"/>
    <w:rsid w:val="00C40A31"/>
    <w:rsid w:val="00C4106D"/>
    <w:rsid w:val="00C415C9"/>
    <w:rsid w:val="00C41CCB"/>
    <w:rsid w:val="00C42198"/>
    <w:rsid w:val="00C422A8"/>
    <w:rsid w:val="00C424E5"/>
    <w:rsid w:val="00C42849"/>
    <w:rsid w:val="00C42990"/>
    <w:rsid w:val="00C429B6"/>
    <w:rsid w:val="00C42BA5"/>
    <w:rsid w:val="00C435D7"/>
    <w:rsid w:val="00C44162"/>
    <w:rsid w:val="00C445BD"/>
    <w:rsid w:val="00C45890"/>
    <w:rsid w:val="00C45D74"/>
    <w:rsid w:val="00C46293"/>
    <w:rsid w:val="00C46915"/>
    <w:rsid w:val="00C46D8D"/>
    <w:rsid w:val="00C47A31"/>
    <w:rsid w:val="00C50E3D"/>
    <w:rsid w:val="00C51286"/>
    <w:rsid w:val="00C51C97"/>
    <w:rsid w:val="00C5216F"/>
    <w:rsid w:val="00C525C2"/>
    <w:rsid w:val="00C52DD7"/>
    <w:rsid w:val="00C549B4"/>
    <w:rsid w:val="00C54DF1"/>
    <w:rsid w:val="00C56553"/>
    <w:rsid w:val="00C567EE"/>
    <w:rsid w:val="00C57789"/>
    <w:rsid w:val="00C578E5"/>
    <w:rsid w:val="00C57B5B"/>
    <w:rsid w:val="00C57E86"/>
    <w:rsid w:val="00C60E6B"/>
    <w:rsid w:val="00C61AB9"/>
    <w:rsid w:val="00C61ECB"/>
    <w:rsid w:val="00C62732"/>
    <w:rsid w:val="00C64242"/>
    <w:rsid w:val="00C646E6"/>
    <w:rsid w:val="00C6474B"/>
    <w:rsid w:val="00C65169"/>
    <w:rsid w:val="00C653C6"/>
    <w:rsid w:val="00C65560"/>
    <w:rsid w:val="00C65FC0"/>
    <w:rsid w:val="00C67550"/>
    <w:rsid w:val="00C67ACD"/>
    <w:rsid w:val="00C67E60"/>
    <w:rsid w:val="00C707AD"/>
    <w:rsid w:val="00C71396"/>
    <w:rsid w:val="00C71650"/>
    <w:rsid w:val="00C71D41"/>
    <w:rsid w:val="00C71D87"/>
    <w:rsid w:val="00C71F73"/>
    <w:rsid w:val="00C72047"/>
    <w:rsid w:val="00C72715"/>
    <w:rsid w:val="00C72769"/>
    <w:rsid w:val="00C729AC"/>
    <w:rsid w:val="00C7360C"/>
    <w:rsid w:val="00C736AE"/>
    <w:rsid w:val="00C73A72"/>
    <w:rsid w:val="00C73B59"/>
    <w:rsid w:val="00C742DD"/>
    <w:rsid w:val="00C74575"/>
    <w:rsid w:val="00C74AFA"/>
    <w:rsid w:val="00C74DB2"/>
    <w:rsid w:val="00C75CEA"/>
    <w:rsid w:val="00C760CF"/>
    <w:rsid w:val="00C76EF7"/>
    <w:rsid w:val="00C82A8B"/>
    <w:rsid w:val="00C82AC3"/>
    <w:rsid w:val="00C83B9B"/>
    <w:rsid w:val="00C83C1E"/>
    <w:rsid w:val="00C85175"/>
    <w:rsid w:val="00C85788"/>
    <w:rsid w:val="00C864F6"/>
    <w:rsid w:val="00C87C0F"/>
    <w:rsid w:val="00C9085A"/>
    <w:rsid w:val="00C90B8B"/>
    <w:rsid w:val="00C90E3C"/>
    <w:rsid w:val="00C9170E"/>
    <w:rsid w:val="00C91A01"/>
    <w:rsid w:val="00C91A91"/>
    <w:rsid w:val="00C9228D"/>
    <w:rsid w:val="00C92E00"/>
    <w:rsid w:val="00C9369C"/>
    <w:rsid w:val="00C93AE0"/>
    <w:rsid w:val="00C94CF3"/>
    <w:rsid w:val="00C954C3"/>
    <w:rsid w:val="00C97090"/>
    <w:rsid w:val="00C9712C"/>
    <w:rsid w:val="00C9734A"/>
    <w:rsid w:val="00C978E3"/>
    <w:rsid w:val="00C978E9"/>
    <w:rsid w:val="00CA00DD"/>
    <w:rsid w:val="00CA0306"/>
    <w:rsid w:val="00CA0979"/>
    <w:rsid w:val="00CA2F19"/>
    <w:rsid w:val="00CA3068"/>
    <w:rsid w:val="00CA3EA9"/>
    <w:rsid w:val="00CA428B"/>
    <w:rsid w:val="00CA4693"/>
    <w:rsid w:val="00CA513E"/>
    <w:rsid w:val="00CA5B11"/>
    <w:rsid w:val="00CA6971"/>
    <w:rsid w:val="00CA723D"/>
    <w:rsid w:val="00CA7AFD"/>
    <w:rsid w:val="00CB122D"/>
    <w:rsid w:val="00CB14FD"/>
    <w:rsid w:val="00CB16B5"/>
    <w:rsid w:val="00CB1A83"/>
    <w:rsid w:val="00CB1FB4"/>
    <w:rsid w:val="00CB2643"/>
    <w:rsid w:val="00CB31A3"/>
    <w:rsid w:val="00CB31EB"/>
    <w:rsid w:val="00CB341F"/>
    <w:rsid w:val="00CB34B1"/>
    <w:rsid w:val="00CB38D6"/>
    <w:rsid w:val="00CB39DF"/>
    <w:rsid w:val="00CB40A4"/>
    <w:rsid w:val="00CB4159"/>
    <w:rsid w:val="00CB42CB"/>
    <w:rsid w:val="00CB4AE6"/>
    <w:rsid w:val="00CB4C0C"/>
    <w:rsid w:val="00CB5AA5"/>
    <w:rsid w:val="00CB5AB5"/>
    <w:rsid w:val="00CB5F08"/>
    <w:rsid w:val="00CB60D1"/>
    <w:rsid w:val="00CB6A3B"/>
    <w:rsid w:val="00CB6B61"/>
    <w:rsid w:val="00CB77D5"/>
    <w:rsid w:val="00CC020B"/>
    <w:rsid w:val="00CC0B0E"/>
    <w:rsid w:val="00CC0E89"/>
    <w:rsid w:val="00CC1FE3"/>
    <w:rsid w:val="00CC23B7"/>
    <w:rsid w:val="00CC2C74"/>
    <w:rsid w:val="00CC2F4D"/>
    <w:rsid w:val="00CC3105"/>
    <w:rsid w:val="00CC45BA"/>
    <w:rsid w:val="00CC490B"/>
    <w:rsid w:val="00CC4AB3"/>
    <w:rsid w:val="00CC4CBE"/>
    <w:rsid w:val="00CC4D63"/>
    <w:rsid w:val="00CC544C"/>
    <w:rsid w:val="00CC56FF"/>
    <w:rsid w:val="00CC5AD1"/>
    <w:rsid w:val="00CC5B0F"/>
    <w:rsid w:val="00CC6D4C"/>
    <w:rsid w:val="00CC6D61"/>
    <w:rsid w:val="00CC75FE"/>
    <w:rsid w:val="00CC7EA0"/>
    <w:rsid w:val="00CD0FB0"/>
    <w:rsid w:val="00CD10BD"/>
    <w:rsid w:val="00CD2310"/>
    <w:rsid w:val="00CD2339"/>
    <w:rsid w:val="00CD378D"/>
    <w:rsid w:val="00CD3FC1"/>
    <w:rsid w:val="00CD4A00"/>
    <w:rsid w:val="00CD5811"/>
    <w:rsid w:val="00CD6682"/>
    <w:rsid w:val="00CD7ED7"/>
    <w:rsid w:val="00CE0516"/>
    <w:rsid w:val="00CE0978"/>
    <w:rsid w:val="00CE1281"/>
    <w:rsid w:val="00CE1554"/>
    <w:rsid w:val="00CE1B32"/>
    <w:rsid w:val="00CE1DDC"/>
    <w:rsid w:val="00CE22ED"/>
    <w:rsid w:val="00CE24C3"/>
    <w:rsid w:val="00CE3113"/>
    <w:rsid w:val="00CE3339"/>
    <w:rsid w:val="00CE3CDB"/>
    <w:rsid w:val="00CE429F"/>
    <w:rsid w:val="00CE42FF"/>
    <w:rsid w:val="00CE450C"/>
    <w:rsid w:val="00CE4F63"/>
    <w:rsid w:val="00CE52E3"/>
    <w:rsid w:val="00CE5ADD"/>
    <w:rsid w:val="00CE653B"/>
    <w:rsid w:val="00CE6D23"/>
    <w:rsid w:val="00CE6E5E"/>
    <w:rsid w:val="00CE71BD"/>
    <w:rsid w:val="00CE730D"/>
    <w:rsid w:val="00CE77ED"/>
    <w:rsid w:val="00CE7A9C"/>
    <w:rsid w:val="00CF0C2D"/>
    <w:rsid w:val="00CF14A2"/>
    <w:rsid w:val="00CF18F1"/>
    <w:rsid w:val="00CF1EB5"/>
    <w:rsid w:val="00CF262C"/>
    <w:rsid w:val="00CF3093"/>
    <w:rsid w:val="00CF4886"/>
    <w:rsid w:val="00CF5638"/>
    <w:rsid w:val="00CF5AD8"/>
    <w:rsid w:val="00CF6697"/>
    <w:rsid w:val="00CF6806"/>
    <w:rsid w:val="00CF6A95"/>
    <w:rsid w:val="00CF6E6F"/>
    <w:rsid w:val="00CF7259"/>
    <w:rsid w:val="00D00580"/>
    <w:rsid w:val="00D0101D"/>
    <w:rsid w:val="00D01268"/>
    <w:rsid w:val="00D01B7E"/>
    <w:rsid w:val="00D02DB2"/>
    <w:rsid w:val="00D034EF"/>
    <w:rsid w:val="00D047E9"/>
    <w:rsid w:val="00D04B94"/>
    <w:rsid w:val="00D04C2F"/>
    <w:rsid w:val="00D0540F"/>
    <w:rsid w:val="00D05567"/>
    <w:rsid w:val="00D055E5"/>
    <w:rsid w:val="00D063FB"/>
    <w:rsid w:val="00D0656B"/>
    <w:rsid w:val="00D101D5"/>
    <w:rsid w:val="00D10553"/>
    <w:rsid w:val="00D10BA2"/>
    <w:rsid w:val="00D10E08"/>
    <w:rsid w:val="00D13A3A"/>
    <w:rsid w:val="00D142F7"/>
    <w:rsid w:val="00D145B1"/>
    <w:rsid w:val="00D147A8"/>
    <w:rsid w:val="00D14953"/>
    <w:rsid w:val="00D14B00"/>
    <w:rsid w:val="00D15150"/>
    <w:rsid w:val="00D174CA"/>
    <w:rsid w:val="00D17BA3"/>
    <w:rsid w:val="00D17BDB"/>
    <w:rsid w:val="00D21080"/>
    <w:rsid w:val="00D21453"/>
    <w:rsid w:val="00D21D68"/>
    <w:rsid w:val="00D225FF"/>
    <w:rsid w:val="00D24993"/>
    <w:rsid w:val="00D24E91"/>
    <w:rsid w:val="00D24F22"/>
    <w:rsid w:val="00D2518A"/>
    <w:rsid w:val="00D251B8"/>
    <w:rsid w:val="00D256F6"/>
    <w:rsid w:val="00D26E9B"/>
    <w:rsid w:val="00D273CE"/>
    <w:rsid w:val="00D274DA"/>
    <w:rsid w:val="00D278B0"/>
    <w:rsid w:val="00D30147"/>
    <w:rsid w:val="00D3101B"/>
    <w:rsid w:val="00D31301"/>
    <w:rsid w:val="00D31317"/>
    <w:rsid w:val="00D3145C"/>
    <w:rsid w:val="00D32C02"/>
    <w:rsid w:val="00D34545"/>
    <w:rsid w:val="00D34D87"/>
    <w:rsid w:val="00D35FE1"/>
    <w:rsid w:val="00D368C0"/>
    <w:rsid w:val="00D40318"/>
    <w:rsid w:val="00D408A9"/>
    <w:rsid w:val="00D409F5"/>
    <w:rsid w:val="00D40AFE"/>
    <w:rsid w:val="00D40B5E"/>
    <w:rsid w:val="00D40CB3"/>
    <w:rsid w:val="00D421E8"/>
    <w:rsid w:val="00D42311"/>
    <w:rsid w:val="00D423DD"/>
    <w:rsid w:val="00D43868"/>
    <w:rsid w:val="00D43C10"/>
    <w:rsid w:val="00D43FB8"/>
    <w:rsid w:val="00D4400F"/>
    <w:rsid w:val="00D44883"/>
    <w:rsid w:val="00D44D59"/>
    <w:rsid w:val="00D45587"/>
    <w:rsid w:val="00D45F80"/>
    <w:rsid w:val="00D46F71"/>
    <w:rsid w:val="00D474FF"/>
    <w:rsid w:val="00D47A34"/>
    <w:rsid w:val="00D50368"/>
    <w:rsid w:val="00D506FE"/>
    <w:rsid w:val="00D51548"/>
    <w:rsid w:val="00D5187C"/>
    <w:rsid w:val="00D52816"/>
    <w:rsid w:val="00D5290F"/>
    <w:rsid w:val="00D53C0C"/>
    <w:rsid w:val="00D542A7"/>
    <w:rsid w:val="00D551B1"/>
    <w:rsid w:val="00D565E9"/>
    <w:rsid w:val="00D574D0"/>
    <w:rsid w:val="00D575C1"/>
    <w:rsid w:val="00D57D7E"/>
    <w:rsid w:val="00D57F05"/>
    <w:rsid w:val="00D6006C"/>
    <w:rsid w:val="00D60E46"/>
    <w:rsid w:val="00D618E8"/>
    <w:rsid w:val="00D61934"/>
    <w:rsid w:val="00D61EAC"/>
    <w:rsid w:val="00D6222D"/>
    <w:rsid w:val="00D623C3"/>
    <w:rsid w:val="00D62825"/>
    <w:rsid w:val="00D62D4B"/>
    <w:rsid w:val="00D64620"/>
    <w:rsid w:val="00D64ADA"/>
    <w:rsid w:val="00D64ADE"/>
    <w:rsid w:val="00D650E6"/>
    <w:rsid w:val="00D65520"/>
    <w:rsid w:val="00D65565"/>
    <w:rsid w:val="00D65731"/>
    <w:rsid w:val="00D65A6C"/>
    <w:rsid w:val="00D65A76"/>
    <w:rsid w:val="00D65AE4"/>
    <w:rsid w:val="00D65FD7"/>
    <w:rsid w:val="00D66BDF"/>
    <w:rsid w:val="00D66DDA"/>
    <w:rsid w:val="00D67058"/>
    <w:rsid w:val="00D706FE"/>
    <w:rsid w:val="00D70E2C"/>
    <w:rsid w:val="00D73AC3"/>
    <w:rsid w:val="00D73BB6"/>
    <w:rsid w:val="00D740D4"/>
    <w:rsid w:val="00D74BD2"/>
    <w:rsid w:val="00D75004"/>
    <w:rsid w:val="00D755F8"/>
    <w:rsid w:val="00D75DDD"/>
    <w:rsid w:val="00D76553"/>
    <w:rsid w:val="00D76A06"/>
    <w:rsid w:val="00D77156"/>
    <w:rsid w:val="00D7737F"/>
    <w:rsid w:val="00D778DE"/>
    <w:rsid w:val="00D77E36"/>
    <w:rsid w:val="00D81000"/>
    <w:rsid w:val="00D81A73"/>
    <w:rsid w:val="00D81AED"/>
    <w:rsid w:val="00D82305"/>
    <w:rsid w:val="00D832A6"/>
    <w:rsid w:val="00D83F63"/>
    <w:rsid w:val="00D852D5"/>
    <w:rsid w:val="00D86438"/>
    <w:rsid w:val="00D86449"/>
    <w:rsid w:val="00D864B2"/>
    <w:rsid w:val="00D867A0"/>
    <w:rsid w:val="00D86A3F"/>
    <w:rsid w:val="00D86D58"/>
    <w:rsid w:val="00D90A4D"/>
    <w:rsid w:val="00D90CBC"/>
    <w:rsid w:val="00D912C5"/>
    <w:rsid w:val="00D92836"/>
    <w:rsid w:val="00D938B3"/>
    <w:rsid w:val="00D95072"/>
    <w:rsid w:val="00D9516F"/>
    <w:rsid w:val="00D95A4E"/>
    <w:rsid w:val="00D96437"/>
    <w:rsid w:val="00D975C3"/>
    <w:rsid w:val="00D97EBB"/>
    <w:rsid w:val="00DA0210"/>
    <w:rsid w:val="00DA03FE"/>
    <w:rsid w:val="00DA056E"/>
    <w:rsid w:val="00DA0D8C"/>
    <w:rsid w:val="00DA1FD8"/>
    <w:rsid w:val="00DA2178"/>
    <w:rsid w:val="00DA3D87"/>
    <w:rsid w:val="00DA421D"/>
    <w:rsid w:val="00DA5239"/>
    <w:rsid w:val="00DA555A"/>
    <w:rsid w:val="00DA5567"/>
    <w:rsid w:val="00DA5B14"/>
    <w:rsid w:val="00DA5BAA"/>
    <w:rsid w:val="00DA663E"/>
    <w:rsid w:val="00DA6E66"/>
    <w:rsid w:val="00DA777D"/>
    <w:rsid w:val="00DB02F4"/>
    <w:rsid w:val="00DB0494"/>
    <w:rsid w:val="00DB0BA5"/>
    <w:rsid w:val="00DB0DF9"/>
    <w:rsid w:val="00DB125A"/>
    <w:rsid w:val="00DB1986"/>
    <w:rsid w:val="00DB1AFE"/>
    <w:rsid w:val="00DB1BE7"/>
    <w:rsid w:val="00DB2742"/>
    <w:rsid w:val="00DB3466"/>
    <w:rsid w:val="00DB43CA"/>
    <w:rsid w:val="00DB5452"/>
    <w:rsid w:val="00DB55A0"/>
    <w:rsid w:val="00DB58BC"/>
    <w:rsid w:val="00DB58C9"/>
    <w:rsid w:val="00DB5F7E"/>
    <w:rsid w:val="00DB66C8"/>
    <w:rsid w:val="00DB7434"/>
    <w:rsid w:val="00DB7943"/>
    <w:rsid w:val="00DB7D7A"/>
    <w:rsid w:val="00DC10D2"/>
    <w:rsid w:val="00DC1588"/>
    <w:rsid w:val="00DC1679"/>
    <w:rsid w:val="00DC16A9"/>
    <w:rsid w:val="00DC225F"/>
    <w:rsid w:val="00DC2A21"/>
    <w:rsid w:val="00DC31A5"/>
    <w:rsid w:val="00DC3AA1"/>
    <w:rsid w:val="00DC452B"/>
    <w:rsid w:val="00DC516C"/>
    <w:rsid w:val="00DC6F2C"/>
    <w:rsid w:val="00DC7D62"/>
    <w:rsid w:val="00DD01F3"/>
    <w:rsid w:val="00DD0F07"/>
    <w:rsid w:val="00DD11B7"/>
    <w:rsid w:val="00DD2B0E"/>
    <w:rsid w:val="00DD2C4C"/>
    <w:rsid w:val="00DD31EC"/>
    <w:rsid w:val="00DD3C52"/>
    <w:rsid w:val="00DD4145"/>
    <w:rsid w:val="00DD526D"/>
    <w:rsid w:val="00DD5A02"/>
    <w:rsid w:val="00DD608C"/>
    <w:rsid w:val="00DD6D23"/>
    <w:rsid w:val="00DD70E4"/>
    <w:rsid w:val="00DD7BF5"/>
    <w:rsid w:val="00DD7E9B"/>
    <w:rsid w:val="00DE05AD"/>
    <w:rsid w:val="00DE204E"/>
    <w:rsid w:val="00DE22AF"/>
    <w:rsid w:val="00DE256A"/>
    <w:rsid w:val="00DE28A7"/>
    <w:rsid w:val="00DE34D9"/>
    <w:rsid w:val="00DE3AA6"/>
    <w:rsid w:val="00DE3C6B"/>
    <w:rsid w:val="00DE473C"/>
    <w:rsid w:val="00DE482D"/>
    <w:rsid w:val="00DE4F9D"/>
    <w:rsid w:val="00DE52F5"/>
    <w:rsid w:val="00DE6B4C"/>
    <w:rsid w:val="00DE73E7"/>
    <w:rsid w:val="00DE7A06"/>
    <w:rsid w:val="00DF023C"/>
    <w:rsid w:val="00DF10E9"/>
    <w:rsid w:val="00DF207D"/>
    <w:rsid w:val="00DF2328"/>
    <w:rsid w:val="00DF2A60"/>
    <w:rsid w:val="00DF3105"/>
    <w:rsid w:val="00DF3F21"/>
    <w:rsid w:val="00DF4005"/>
    <w:rsid w:val="00DF4088"/>
    <w:rsid w:val="00DF4851"/>
    <w:rsid w:val="00DF52DB"/>
    <w:rsid w:val="00DF5355"/>
    <w:rsid w:val="00DF5A10"/>
    <w:rsid w:val="00DF5C2E"/>
    <w:rsid w:val="00DF72E1"/>
    <w:rsid w:val="00E01102"/>
    <w:rsid w:val="00E0156C"/>
    <w:rsid w:val="00E01B2C"/>
    <w:rsid w:val="00E030F6"/>
    <w:rsid w:val="00E037B2"/>
    <w:rsid w:val="00E03BF7"/>
    <w:rsid w:val="00E03CD6"/>
    <w:rsid w:val="00E04BDF"/>
    <w:rsid w:val="00E058F4"/>
    <w:rsid w:val="00E06DB2"/>
    <w:rsid w:val="00E07047"/>
    <w:rsid w:val="00E07593"/>
    <w:rsid w:val="00E077F2"/>
    <w:rsid w:val="00E07CF5"/>
    <w:rsid w:val="00E10ADE"/>
    <w:rsid w:val="00E10E01"/>
    <w:rsid w:val="00E1114A"/>
    <w:rsid w:val="00E115E4"/>
    <w:rsid w:val="00E12E71"/>
    <w:rsid w:val="00E1318E"/>
    <w:rsid w:val="00E1477D"/>
    <w:rsid w:val="00E15104"/>
    <w:rsid w:val="00E16056"/>
    <w:rsid w:val="00E174F0"/>
    <w:rsid w:val="00E17521"/>
    <w:rsid w:val="00E17678"/>
    <w:rsid w:val="00E17D81"/>
    <w:rsid w:val="00E17FD3"/>
    <w:rsid w:val="00E20501"/>
    <w:rsid w:val="00E20B4E"/>
    <w:rsid w:val="00E21226"/>
    <w:rsid w:val="00E21532"/>
    <w:rsid w:val="00E22AFE"/>
    <w:rsid w:val="00E23666"/>
    <w:rsid w:val="00E237D0"/>
    <w:rsid w:val="00E244C6"/>
    <w:rsid w:val="00E25114"/>
    <w:rsid w:val="00E25383"/>
    <w:rsid w:val="00E254E5"/>
    <w:rsid w:val="00E25A79"/>
    <w:rsid w:val="00E260AF"/>
    <w:rsid w:val="00E2626B"/>
    <w:rsid w:val="00E262F4"/>
    <w:rsid w:val="00E26341"/>
    <w:rsid w:val="00E264BE"/>
    <w:rsid w:val="00E2651D"/>
    <w:rsid w:val="00E26626"/>
    <w:rsid w:val="00E26A07"/>
    <w:rsid w:val="00E277C3"/>
    <w:rsid w:val="00E30291"/>
    <w:rsid w:val="00E305A4"/>
    <w:rsid w:val="00E30924"/>
    <w:rsid w:val="00E30EB0"/>
    <w:rsid w:val="00E31F9E"/>
    <w:rsid w:val="00E32B17"/>
    <w:rsid w:val="00E33486"/>
    <w:rsid w:val="00E33B2B"/>
    <w:rsid w:val="00E3439E"/>
    <w:rsid w:val="00E34E14"/>
    <w:rsid w:val="00E3500E"/>
    <w:rsid w:val="00E36C70"/>
    <w:rsid w:val="00E37302"/>
    <w:rsid w:val="00E37B12"/>
    <w:rsid w:val="00E40A5B"/>
    <w:rsid w:val="00E40B17"/>
    <w:rsid w:val="00E40F16"/>
    <w:rsid w:val="00E41602"/>
    <w:rsid w:val="00E4170D"/>
    <w:rsid w:val="00E4171C"/>
    <w:rsid w:val="00E43430"/>
    <w:rsid w:val="00E43F36"/>
    <w:rsid w:val="00E443C5"/>
    <w:rsid w:val="00E4479C"/>
    <w:rsid w:val="00E45A2F"/>
    <w:rsid w:val="00E45BDC"/>
    <w:rsid w:val="00E47285"/>
    <w:rsid w:val="00E47530"/>
    <w:rsid w:val="00E479FF"/>
    <w:rsid w:val="00E47DFF"/>
    <w:rsid w:val="00E50162"/>
    <w:rsid w:val="00E503FD"/>
    <w:rsid w:val="00E50536"/>
    <w:rsid w:val="00E51033"/>
    <w:rsid w:val="00E5169D"/>
    <w:rsid w:val="00E51D32"/>
    <w:rsid w:val="00E51D9A"/>
    <w:rsid w:val="00E52369"/>
    <w:rsid w:val="00E52C67"/>
    <w:rsid w:val="00E53ACB"/>
    <w:rsid w:val="00E53E16"/>
    <w:rsid w:val="00E53E2E"/>
    <w:rsid w:val="00E54018"/>
    <w:rsid w:val="00E54C9D"/>
    <w:rsid w:val="00E55422"/>
    <w:rsid w:val="00E5579C"/>
    <w:rsid w:val="00E559AA"/>
    <w:rsid w:val="00E5605D"/>
    <w:rsid w:val="00E56162"/>
    <w:rsid w:val="00E5636D"/>
    <w:rsid w:val="00E563A3"/>
    <w:rsid w:val="00E56723"/>
    <w:rsid w:val="00E56CF4"/>
    <w:rsid w:val="00E573EC"/>
    <w:rsid w:val="00E60BE8"/>
    <w:rsid w:val="00E60D26"/>
    <w:rsid w:val="00E61509"/>
    <w:rsid w:val="00E61D07"/>
    <w:rsid w:val="00E62121"/>
    <w:rsid w:val="00E623F5"/>
    <w:rsid w:val="00E63297"/>
    <w:rsid w:val="00E63DCF"/>
    <w:rsid w:val="00E6486B"/>
    <w:rsid w:val="00E65259"/>
    <w:rsid w:val="00E65455"/>
    <w:rsid w:val="00E65A77"/>
    <w:rsid w:val="00E65DD0"/>
    <w:rsid w:val="00E67343"/>
    <w:rsid w:val="00E67E62"/>
    <w:rsid w:val="00E67F84"/>
    <w:rsid w:val="00E70273"/>
    <w:rsid w:val="00E71781"/>
    <w:rsid w:val="00E71EF0"/>
    <w:rsid w:val="00E739A9"/>
    <w:rsid w:val="00E73A23"/>
    <w:rsid w:val="00E73C2B"/>
    <w:rsid w:val="00E73DD0"/>
    <w:rsid w:val="00E741CA"/>
    <w:rsid w:val="00E74360"/>
    <w:rsid w:val="00E74805"/>
    <w:rsid w:val="00E74BBE"/>
    <w:rsid w:val="00E74D11"/>
    <w:rsid w:val="00E75ADB"/>
    <w:rsid w:val="00E75DE7"/>
    <w:rsid w:val="00E75F37"/>
    <w:rsid w:val="00E76318"/>
    <w:rsid w:val="00E76EBE"/>
    <w:rsid w:val="00E771CF"/>
    <w:rsid w:val="00E80148"/>
    <w:rsid w:val="00E80296"/>
    <w:rsid w:val="00E80DB2"/>
    <w:rsid w:val="00E8153B"/>
    <w:rsid w:val="00E81DAB"/>
    <w:rsid w:val="00E82A8F"/>
    <w:rsid w:val="00E82AF7"/>
    <w:rsid w:val="00E83265"/>
    <w:rsid w:val="00E83C40"/>
    <w:rsid w:val="00E8457F"/>
    <w:rsid w:val="00E85B7F"/>
    <w:rsid w:val="00E87173"/>
    <w:rsid w:val="00E871E4"/>
    <w:rsid w:val="00E874BA"/>
    <w:rsid w:val="00E87CDD"/>
    <w:rsid w:val="00E914A0"/>
    <w:rsid w:val="00E91863"/>
    <w:rsid w:val="00E91A21"/>
    <w:rsid w:val="00E92BD8"/>
    <w:rsid w:val="00E92E2E"/>
    <w:rsid w:val="00E93D9E"/>
    <w:rsid w:val="00E954B3"/>
    <w:rsid w:val="00E95C4E"/>
    <w:rsid w:val="00E96751"/>
    <w:rsid w:val="00E96DEA"/>
    <w:rsid w:val="00E97134"/>
    <w:rsid w:val="00E975B3"/>
    <w:rsid w:val="00EA0483"/>
    <w:rsid w:val="00EA09BF"/>
    <w:rsid w:val="00EA10B0"/>
    <w:rsid w:val="00EA11A1"/>
    <w:rsid w:val="00EA137A"/>
    <w:rsid w:val="00EA310D"/>
    <w:rsid w:val="00EA52AC"/>
    <w:rsid w:val="00EA5736"/>
    <w:rsid w:val="00EA6306"/>
    <w:rsid w:val="00EA68EF"/>
    <w:rsid w:val="00EA6D78"/>
    <w:rsid w:val="00EA70D1"/>
    <w:rsid w:val="00EA7268"/>
    <w:rsid w:val="00EB0414"/>
    <w:rsid w:val="00EB0B61"/>
    <w:rsid w:val="00EB0E42"/>
    <w:rsid w:val="00EB1060"/>
    <w:rsid w:val="00EB1454"/>
    <w:rsid w:val="00EB16EA"/>
    <w:rsid w:val="00EB19B7"/>
    <w:rsid w:val="00EB22B5"/>
    <w:rsid w:val="00EB2B5C"/>
    <w:rsid w:val="00EB2F92"/>
    <w:rsid w:val="00EB4236"/>
    <w:rsid w:val="00EB4564"/>
    <w:rsid w:val="00EB46C0"/>
    <w:rsid w:val="00EB4812"/>
    <w:rsid w:val="00EB4969"/>
    <w:rsid w:val="00EB4BA2"/>
    <w:rsid w:val="00EB4BA4"/>
    <w:rsid w:val="00EB4D82"/>
    <w:rsid w:val="00EB4E93"/>
    <w:rsid w:val="00EB54A8"/>
    <w:rsid w:val="00EB5918"/>
    <w:rsid w:val="00EB680F"/>
    <w:rsid w:val="00EB6A20"/>
    <w:rsid w:val="00EB72EB"/>
    <w:rsid w:val="00EB770F"/>
    <w:rsid w:val="00EC010E"/>
    <w:rsid w:val="00EC142F"/>
    <w:rsid w:val="00EC1C47"/>
    <w:rsid w:val="00EC27E9"/>
    <w:rsid w:val="00EC30DF"/>
    <w:rsid w:val="00EC3B21"/>
    <w:rsid w:val="00EC4166"/>
    <w:rsid w:val="00EC5482"/>
    <w:rsid w:val="00EC553F"/>
    <w:rsid w:val="00EC5727"/>
    <w:rsid w:val="00EC589F"/>
    <w:rsid w:val="00EC5E1B"/>
    <w:rsid w:val="00EC6492"/>
    <w:rsid w:val="00EC6B0D"/>
    <w:rsid w:val="00EC6EB4"/>
    <w:rsid w:val="00ED02CE"/>
    <w:rsid w:val="00ED1895"/>
    <w:rsid w:val="00ED1C71"/>
    <w:rsid w:val="00ED2FF5"/>
    <w:rsid w:val="00ED3C05"/>
    <w:rsid w:val="00ED3F5B"/>
    <w:rsid w:val="00ED4B6E"/>
    <w:rsid w:val="00ED507D"/>
    <w:rsid w:val="00ED515A"/>
    <w:rsid w:val="00ED52FF"/>
    <w:rsid w:val="00ED5FCB"/>
    <w:rsid w:val="00ED63AA"/>
    <w:rsid w:val="00ED6A4A"/>
    <w:rsid w:val="00EE01E9"/>
    <w:rsid w:val="00EE0A90"/>
    <w:rsid w:val="00EE13DF"/>
    <w:rsid w:val="00EE1C82"/>
    <w:rsid w:val="00EE21E5"/>
    <w:rsid w:val="00EE2713"/>
    <w:rsid w:val="00EE28D0"/>
    <w:rsid w:val="00EE2CE0"/>
    <w:rsid w:val="00EE3D14"/>
    <w:rsid w:val="00EE40F0"/>
    <w:rsid w:val="00EE4BD1"/>
    <w:rsid w:val="00EE526C"/>
    <w:rsid w:val="00EE7B2E"/>
    <w:rsid w:val="00EF0795"/>
    <w:rsid w:val="00EF09EF"/>
    <w:rsid w:val="00EF0E6D"/>
    <w:rsid w:val="00EF1273"/>
    <w:rsid w:val="00EF1360"/>
    <w:rsid w:val="00EF1D8E"/>
    <w:rsid w:val="00EF26A8"/>
    <w:rsid w:val="00EF2898"/>
    <w:rsid w:val="00EF30E8"/>
    <w:rsid w:val="00EF394C"/>
    <w:rsid w:val="00EF3B01"/>
    <w:rsid w:val="00EF452A"/>
    <w:rsid w:val="00EF47A8"/>
    <w:rsid w:val="00EF4E52"/>
    <w:rsid w:val="00EF5009"/>
    <w:rsid w:val="00EF517B"/>
    <w:rsid w:val="00EF548A"/>
    <w:rsid w:val="00EF55C9"/>
    <w:rsid w:val="00EF6732"/>
    <w:rsid w:val="00EF6762"/>
    <w:rsid w:val="00EF69A0"/>
    <w:rsid w:val="00EF7A57"/>
    <w:rsid w:val="00EF7E98"/>
    <w:rsid w:val="00F00770"/>
    <w:rsid w:val="00F00B42"/>
    <w:rsid w:val="00F012CD"/>
    <w:rsid w:val="00F013D0"/>
    <w:rsid w:val="00F01424"/>
    <w:rsid w:val="00F01DA0"/>
    <w:rsid w:val="00F02147"/>
    <w:rsid w:val="00F02808"/>
    <w:rsid w:val="00F02D8C"/>
    <w:rsid w:val="00F02FD4"/>
    <w:rsid w:val="00F03404"/>
    <w:rsid w:val="00F03D82"/>
    <w:rsid w:val="00F05003"/>
    <w:rsid w:val="00F055DA"/>
    <w:rsid w:val="00F05A64"/>
    <w:rsid w:val="00F05E1A"/>
    <w:rsid w:val="00F05E2E"/>
    <w:rsid w:val="00F05F99"/>
    <w:rsid w:val="00F06A89"/>
    <w:rsid w:val="00F06B3B"/>
    <w:rsid w:val="00F078C3"/>
    <w:rsid w:val="00F10D66"/>
    <w:rsid w:val="00F113D1"/>
    <w:rsid w:val="00F12AC1"/>
    <w:rsid w:val="00F12B79"/>
    <w:rsid w:val="00F12DDC"/>
    <w:rsid w:val="00F1337E"/>
    <w:rsid w:val="00F13456"/>
    <w:rsid w:val="00F13856"/>
    <w:rsid w:val="00F13BF6"/>
    <w:rsid w:val="00F14198"/>
    <w:rsid w:val="00F145A2"/>
    <w:rsid w:val="00F14603"/>
    <w:rsid w:val="00F14BD9"/>
    <w:rsid w:val="00F1577F"/>
    <w:rsid w:val="00F15A7A"/>
    <w:rsid w:val="00F16513"/>
    <w:rsid w:val="00F16857"/>
    <w:rsid w:val="00F16D24"/>
    <w:rsid w:val="00F16EC5"/>
    <w:rsid w:val="00F17638"/>
    <w:rsid w:val="00F179E2"/>
    <w:rsid w:val="00F17B65"/>
    <w:rsid w:val="00F201DF"/>
    <w:rsid w:val="00F209F7"/>
    <w:rsid w:val="00F2131D"/>
    <w:rsid w:val="00F216F5"/>
    <w:rsid w:val="00F21806"/>
    <w:rsid w:val="00F239ED"/>
    <w:rsid w:val="00F23E0A"/>
    <w:rsid w:val="00F24D0F"/>
    <w:rsid w:val="00F255DC"/>
    <w:rsid w:val="00F25B6E"/>
    <w:rsid w:val="00F25EB3"/>
    <w:rsid w:val="00F26268"/>
    <w:rsid w:val="00F26C86"/>
    <w:rsid w:val="00F2770B"/>
    <w:rsid w:val="00F27824"/>
    <w:rsid w:val="00F27F71"/>
    <w:rsid w:val="00F301E4"/>
    <w:rsid w:val="00F31243"/>
    <w:rsid w:val="00F31550"/>
    <w:rsid w:val="00F320DE"/>
    <w:rsid w:val="00F32325"/>
    <w:rsid w:val="00F32C46"/>
    <w:rsid w:val="00F32CE3"/>
    <w:rsid w:val="00F32FF0"/>
    <w:rsid w:val="00F33C45"/>
    <w:rsid w:val="00F33CD9"/>
    <w:rsid w:val="00F344CA"/>
    <w:rsid w:val="00F3459E"/>
    <w:rsid w:val="00F3556F"/>
    <w:rsid w:val="00F355AD"/>
    <w:rsid w:val="00F35CBF"/>
    <w:rsid w:val="00F361BD"/>
    <w:rsid w:val="00F37F0A"/>
    <w:rsid w:val="00F402F3"/>
    <w:rsid w:val="00F40B38"/>
    <w:rsid w:val="00F4179F"/>
    <w:rsid w:val="00F41EB1"/>
    <w:rsid w:val="00F4349D"/>
    <w:rsid w:val="00F44C9E"/>
    <w:rsid w:val="00F453BE"/>
    <w:rsid w:val="00F456D2"/>
    <w:rsid w:val="00F467E5"/>
    <w:rsid w:val="00F502FE"/>
    <w:rsid w:val="00F51E5F"/>
    <w:rsid w:val="00F51EB8"/>
    <w:rsid w:val="00F53490"/>
    <w:rsid w:val="00F53607"/>
    <w:rsid w:val="00F53D3C"/>
    <w:rsid w:val="00F54137"/>
    <w:rsid w:val="00F54B01"/>
    <w:rsid w:val="00F54E3B"/>
    <w:rsid w:val="00F55673"/>
    <w:rsid w:val="00F558BA"/>
    <w:rsid w:val="00F55AC1"/>
    <w:rsid w:val="00F55D8B"/>
    <w:rsid w:val="00F56048"/>
    <w:rsid w:val="00F562E9"/>
    <w:rsid w:val="00F5665B"/>
    <w:rsid w:val="00F5681E"/>
    <w:rsid w:val="00F56BE7"/>
    <w:rsid w:val="00F60BBC"/>
    <w:rsid w:val="00F60DD7"/>
    <w:rsid w:val="00F61290"/>
    <w:rsid w:val="00F63C04"/>
    <w:rsid w:val="00F63CA7"/>
    <w:rsid w:val="00F63FE7"/>
    <w:rsid w:val="00F64452"/>
    <w:rsid w:val="00F653A1"/>
    <w:rsid w:val="00F66309"/>
    <w:rsid w:val="00F66322"/>
    <w:rsid w:val="00F66900"/>
    <w:rsid w:val="00F67074"/>
    <w:rsid w:val="00F675BF"/>
    <w:rsid w:val="00F67D37"/>
    <w:rsid w:val="00F67D54"/>
    <w:rsid w:val="00F712BF"/>
    <w:rsid w:val="00F72064"/>
    <w:rsid w:val="00F7222F"/>
    <w:rsid w:val="00F72292"/>
    <w:rsid w:val="00F723A5"/>
    <w:rsid w:val="00F72FD0"/>
    <w:rsid w:val="00F734FD"/>
    <w:rsid w:val="00F74CDD"/>
    <w:rsid w:val="00F75ECD"/>
    <w:rsid w:val="00F778A4"/>
    <w:rsid w:val="00F77C28"/>
    <w:rsid w:val="00F809B7"/>
    <w:rsid w:val="00F80D01"/>
    <w:rsid w:val="00F81DAB"/>
    <w:rsid w:val="00F81DDE"/>
    <w:rsid w:val="00F8250D"/>
    <w:rsid w:val="00F82AB3"/>
    <w:rsid w:val="00F82E38"/>
    <w:rsid w:val="00F83159"/>
    <w:rsid w:val="00F834AE"/>
    <w:rsid w:val="00F83D67"/>
    <w:rsid w:val="00F83E77"/>
    <w:rsid w:val="00F84095"/>
    <w:rsid w:val="00F849FD"/>
    <w:rsid w:val="00F84A8D"/>
    <w:rsid w:val="00F8589C"/>
    <w:rsid w:val="00F859B3"/>
    <w:rsid w:val="00F8734E"/>
    <w:rsid w:val="00F877E2"/>
    <w:rsid w:val="00F87AF7"/>
    <w:rsid w:val="00F87DB8"/>
    <w:rsid w:val="00F87E4C"/>
    <w:rsid w:val="00F909DA"/>
    <w:rsid w:val="00F90E12"/>
    <w:rsid w:val="00F91127"/>
    <w:rsid w:val="00F9166F"/>
    <w:rsid w:val="00F9258E"/>
    <w:rsid w:val="00F936E7"/>
    <w:rsid w:val="00F93974"/>
    <w:rsid w:val="00F93A87"/>
    <w:rsid w:val="00F93DAE"/>
    <w:rsid w:val="00F93E28"/>
    <w:rsid w:val="00F93F8B"/>
    <w:rsid w:val="00F948A4"/>
    <w:rsid w:val="00F94C30"/>
    <w:rsid w:val="00F95014"/>
    <w:rsid w:val="00F953A1"/>
    <w:rsid w:val="00F95451"/>
    <w:rsid w:val="00F957A1"/>
    <w:rsid w:val="00F959FA"/>
    <w:rsid w:val="00F95D43"/>
    <w:rsid w:val="00F97071"/>
    <w:rsid w:val="00F97AA1"/>
    <w:rsid w:val="00FA004A"/>
    <w:rsid w:val="00FA0121"/>
    <w:rsid w:val="00FA068B"/>
    <w:rsid w:val="00FA1084"/>
    <w:rsid w:val="00FA10D9"/>
    <w:rsid w:val="00FA2A05"/>
    <w:rsid w:val="00FA2A60"/>
    <w:rsid w:val="00FA2C27"/>
    <w:rsid w:val="00FA2C86"/>
    <w:rsid w:val="00FA2FAA"/>
    <w:rsid w:val="00FA4DA9"/>
    <w:rsid w:val="00FA6206"/>
    <w:rsid w:val="00FA626F"/>
    <w:rsid w:val="00FA67A5"/>
    <w:rsid w:val="00FA69B3"/>
    <w:rsid w:val="00FA6C21"/>
    <w:rsid w:val="00FA6C40"/>
    <w:rsid w:val="00FA6E30"/>
    <w:rsid w:val="00FA7454"/>
    <w:rsid w:val="00FA74BC"/>
    <w:rsid w:val="00FA7BE6"/>
    <w:rsid w:val="00FB063F"/>
    <w:rsid w:val="00FB07DE"/>
    <w:rsid w:val="00FB08B2"/>
    <w:rsid w:val="00FB0DF9"/>
    <w:rsid w:val="00FB1109"/>
    <w:rsid w:val="00FB15D3"/>
    <w:rsid w:val="00FB1BF7"/>
    <w:rsid w:val="00FB1F38"/>
    <w:rsid w:val="00FB3EE2"/>
    <w:rsid w:val="00FB5B11"/>
    <w:rsid w:val="00FB6273"/>
    <w:rsid w:val="00FB68CF"/>
    <w:rsid w:val="00FB6C4D"/>
    <w:rsid w:val="00FB7DF5"/>
    <w:rsid w:val="00FB7ECB"/>
    <w:rsid w:val="00FC0069"/>
    <w:rsid w:val="00FC0F52"/>
    <w:rsid w:val="00FC1BA3"/>
    <w:rsid w:val="00FC1C54"/>
    <w:rsid w:val="00FC2005"/>
    <w:rsid w:val="00FC213C"/>
    <w:rsid w:val="00FC309E"/>
    <w:rsid w:val="00FC376B"/>
    <w:rsid w:val="00FC3D70"/>
    <w:rsid w:val="00FC4021"/>
    <w:rsid w:val="00FC41FB"/>
    <w:rsid w:val="00FC52F1"/>
    <w:rsid w:val="00FC57D8"/>
    <w:rsid w:val="00FC59B5"/>
    <w:rsid w:val="00FC5DAA"/>
    <w:rsid w:val="00FC5E5D"/>
    <w:rsid w:val="00FC7786"/>
    <w:rsid w:val="00FC7825"/>
    <w:rsid w:val="00FD1126"/>
    <w:rsid w:val="00FD12A7"/>
    <w:rsid w:val="00FD29BB"/>
    <w:rsid w:val="00FD29D5"/>
    <w:rsid w:val="00FD2CC8"/>
    <w:rsid w:val="00FD2FFD"/>
    <w:rsid w:val="00FD3BF7"/>
    <w:rsid w:val="00FD3C33"/>
    <w:rsid w:val="00FD46D4"/>
    <w:rsid w:val="00FD4DE7"/>
    <w:rsid w:val="00FD5EE3"/>
    <w:rsid w:val="00FD6141"/>
    <w:rsid w:val="00FD6B6B"/>
    <w:rsid w:val="00FD6DF8"/>
    <w:rsid w:val="00FD709B"/>
    <w:rsid w:val="00FE0040"/>
    <w:rsid w:val="00FE0EAE"/>
    <w:rsid w:val="00FE101E"/>
    <w:rsid w:val="00FE1441"/>
    <w:rsid w:val="00FE22AF"/>
    <w:rsid w:val="00FE2474"/>
    <w:rsid w:val="00FE2FBA"/>
    <w:rsid w:val="00FE37D6"/>
    <w:rsid w:val="00FE3C74"/>
    <w:rsid w:val="00FE43A0"/>
    <w:rsid w:val="00FE44B8"/>
    <w:rsid w:val="00FE4D7B"/>
    <w:rsid w:val="00FE51AE"/>
    <w:rsid w:val="00FE5377"/>
    <w:rsid w:val="00FE58CF"/>
    <w:rsid w:val="00FE65E5"/>
    <w:rsid w:val="00FE7126"/>
    <w:rsid w:val="00FF09A6"/>
    <w:rsid w:val="00FF0AC0"/>
    <w:rsid w:val="00FF11FA"/>
    <w:rsid w:val="00FF15E6"/>
    <w:rsid w:val="00FF19C1"/>
    <w:rsid w:val="00FF1F99"/>
    <w:rsid w:val="00FF20C3"/>
    <w:rsid w:val="00FF21BB"/>
    <w:rsid w:val="00FF258F"/>
    <w:rsid w:val="00FF2E6E"/>
    <w:rsid w:val="00FF4131"/>
    <w:rsid w:val="00FF4445"/>
    <w:rsid w:val="00FF44AD"/>
    <w:rsid w:val="00FF49C2"/>
    <w:rsid w:val="00FF56DA"/>
    <w:rsid w:val="00FF5916"/>
    <w:rsid w:val="00FF754E"/>
    <w:rsid w:val="00FF764C"/>
    <w:rsid w:val="00FF786F"/>
    <w:rsid w:val="00FF7989"/>
    <w:rsid w:val="00FF7B7B"/>
    <w:rsid w:val="7652B3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4B5EEEC"/>
  <w15:docId w15:val="{AB5182E8-F2E8-447E-A9DB-BB92D6C66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aliases w:val="Arial 10 bullet"/>
    <w:rsid w:val="00E10E01"/>
    <w:pPr>
      <w:tabs>
        <w:tab w:val="num" w:pos="2160"/>
      </w:tabs>
      <w:spacing w:before="100"/>
      <w:ind w:left="2160" w:hanging="360"/>
      <w:jc w:val="both"/>
    </w:pPr>
    <w:rPr>
      <w:rFonts w:ascii="Arial" w:hAnsi="Arial"/>
      <w:noProof/>
      <w:szCs w:val="24"/>
      <w:lang w:val="hr-HR"/>
    </w:rPr>
  </w:style>
  <w:style w:type="paragraph" w:styleId="Heading1">
    <w:name w:val="heading 1"/>
    <w:basedOn w:val="Normal"/>
    <w:next w:val="Normal"/>
    <w:link w:val="Heading1Char"/>
    <w:qFormat/>
    <w:rsid w:val="00A50B19"/>
    <w:pPr>
      <w:keepNext/>
      <w:tabs>
        <w:tab w:val="clear" w:pos="2160"/>
      </w:tabs>
      <w:spacing w:before="300"/>
      <w:ind w:left="0" w:firstLine="0"/>
      <w:jc w:val="left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D70E2C"/>
    <w:pPr>
      <w:keepNext/>
      <w:keepLines/>
      <w:tabs>
        <w:tab w:val="clear" w:pos="2160"/>
      </w:tabs>
      <w:spacing w:before="160"/>
      <w:ind w:left="0" w:firstLine="0"/>
      <w:jc w:val="left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qFormat/>
    <w:rsid w:val="003E2025"/>
    <w:pPr>
      <w:keepNext/>
      <w:widowControl w:val="0"/>
      <w:spacing w:before="240" w:after="60"/>
      <w:jc w:val="left"/>
      <w:outlineLvl w:val="2"/>
    </w:pPr>
    <w:rPr>
      <w:rFonts w:ascii="Cambria" w:hAnsi="Cambria"/>
      <w:b/>
      <w:bCs/>
      <w:color w:val="000000"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64A51"/>
    <w:pPr>
      <w:keepNext/>
      <w:tabs>
        <w:tab w:val="clear" w:pos="2160"/>
      </w:tabs>
      <w:spacing w:before="240" w:after="60"/>
      <w:ind w:left="864" w:hanging="864"/>
      <w:outlineLvl w:val="3"/>
    </w:pPr>
    <w:rPr>
      <w:rFonts w:ascii="Lucida Sans Unicode" w:hAnsi="Lucida Sans Unicode"/>
      <w:b/>
      <w:bCs/>
      <w:sz w:val="22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064A51"/>
    <w:pPr>
      <w:keepNext/>
      <w:keepLines/>
      <w:tabs>
        <w:tab w:val="clear" w:pos="2160"/>
      </w:tabs>
      <w:spacing w:before="40"/>
      <w:ind w:left="1008" w:hanging="1008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97DE0"/>
    <w:pPr>
      <w:keepNext/>
      <w:keepLines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64A51"/>
    <w:pPr>
      <w:keepNext/>
      <w:keepLines/>
      <w:tabs>
        <w:tab w:val="clear" w:pos="2160"/>
      </w:tabs>
      <w:spacing w:before="4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64A51"/>
    <w:pPr>
      <w:tabs>
        <w:tab w:val="clear" w:pos="2160"/>
      </w:tabs>
      <w:spacing w:before="240" w:after="60"/>
      <w:ind w:left="1440" w:hanging="1440"/>
      <w:outlineLvl w:val="7"/>
    </w:pPr>
    <w:rPr>
      <w:rFonts w:ascii="Calibri" w:hAnsi="Calibri"/>
      <w:i/>
      <w:iCs/>
      <w:sz w:val="22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064A51"/>
    <w:pPr>
      <w:keepNext/>
      <w:keepLines/>
      <w:tabs>
        <w:tab w:val="clear" w:pos="2160"/>
      </w:tabs>
      <w:spacing w:before="40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Paragraph">
    <w:name w:val="Main Paragraph"/>
    <w:basedOn w:val="Normal"/>
    <w:rsid w:val="00805B38"/>
    <w:pPr>
      <w:spacing w:after="240"/>
    </w:pPr>
    <w:rPr>
      <w:rFonts w:cs="Tahoma"/>
      <w:szCs w:val="22"/>
    </w:rPr>
  </w:style>
  <w:style w:type="paragraph" w:styleId="Header">
    <w:name w:val="header"/>
    <w:basedOn w:val="Normal"/>
    <w:link w:val="HeaderChar"/>
    <w:uiPriority w:val="99"/>
    <w:rsid w:val="00346B6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346B64"/>
    <w:pPr>
      <w:tabs>
        <w:tab w:val="center" w:pos="4320"/>
        <w:tab w:val="right" w:pos="8640"/>
      </w:tabs>
    </w:pPr>
  </w:style>
  <w:style w:type="character" w:styleId="CommentReference">
    <w:name w:val="annotation reference"/>
    <w:uiPriority w:val="99"/>
    <w:rsid w:val="002913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91362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291362"/>
    <w:rPr>
      <w:b/>
      <w:bCs/>
    </w:rPr>
  </w:style>
  <w:style w:type="paragraph" w:styleId="BalloonText">
    <w:name w:val="Balloon Text"/>
    <w:basedOn w:val="Normal"/>
    <w:semiHidden/>
    <w:rsid w:val="00291362"/>
    <w:rPr>
      <w:rFonts w:cs="Tahoma"/>
      <w:sz w:val="16"/>
      <w:szCs w:val="16"/>
    </w:rPr>
  </w:style>
  <w:style w:type="paragraph" w:customStyle="1" w:styleId="MainParagraph-nonumber">
    <w:name w:val="Main Paragraph - no number"/>
    <w:basedOn w:val="Normal"/>
    <w:uiPriority w:val="99"/>
    <w:qFormat/>
    <w:rsid w:val="00CC5B0F"/>
    <w:pPr>
      <w:spacing w:before="240" w:after="120"/>
    </w:pPr>
    <w:rPr>
      <w:rFonts w:cs="Tahoma"/>
      <w:szCs w:val="22"/>
    </w:rPr>
  </w:style>
  <w:style w:type="paragraph" w:customStyle="1" w:styleId="xxRulesParagraph">
    <w:name w:val="x.x Rules Paragraph"/>
    <w:basedOn w:val="Normal"/>
    <w:qFormat/>
    <w:rsid w:val="009429A6"/>
    <w:pPr>
      <w:numPr>
        <w:ilvl w:val="1"/>
        <w:numId w:val="1"/>
      </w:numPr>
      <w:tabs>
        <w:tab w:val="num" w:pos="360"/>
      </w:tabs>
      <w:ind w:left="720" w:hanging="360"/>
      <w:jc w:val="left"/>
      <w:outlineLvl w:val="1"/>
    </w:pPr>
    <w:rPr>
      <w:rFonts w:cs="Tahoma"/>
    </w:rPr>
  </w:style>
  <w:style w:type="paragraph" w:customStyle="1" w:styleId="XXXRulesParagraph">
    <w:name w:val="X.X.X Rules Paragraph"/>
    <w:basedOn w:val="Normal"/>
    <w:autoRedefine/>
    <w:uiPriority w:val="99"/>
    <w:qFormat/>
    <w:rsid w:val="009F476F"/>
    <w:pPr>
      <w:numPr>
        <w:numId w:val="2"/>
      </w:numPr>
      <w:spacing w:before="60"/>
      <w:jc w:val="left"/>
    </w:pPr>
    <w:rPr>
      <w:rFonts w:cs="Tahoma"/>
      <w:color w:val="FF0000"/>
    </w:rPr>
  </w:style>
  <w:style w:type="paragraph" w:customStyle="1" w:styleId="xxxxRulesParagraph">
    <w:name w:val="x.x.x.x Rules Paragraph"/>
    <w:basedOn w:val="XXXRulesParagraph"/>
    <w:qFormat/>
    <w:rsid w:val="00FD2CC8"/>
    <w:pPr>
      <w:numPr>
        <w:numId w:val="0"/>
      </w:numPr>
      <w:ind w:hanging="992"/>
    </w:pPr>
  </w:style>
  <w:style w:type="paragraph" w:customStyle="1" w:styleId="Appendix">
    <w:name w:val="Appendix"/>
    <w:basedOn w:val="Normal"/>
    <w:semiHidden/>
    <w:rsid w:val="006319B1"/>
    <w:pPr>
      <w:spacing w:before="240" w:after="240"/>
      <w:jc w:val="center"/>
    </w:pPr>
    <w:rPr>
      <w:b/>
      <w:bCs/>
      <w:sz w:val="28"/>
      <w:szCs w:val="20"/>
    </w:rPr>
  </w:style>
  <w:style w:type="paragraph" w:customStyle="1" w:styleId="StepbyStep">
    <w:name w:val="Step by Step"/>
    <w:basedOn w:val="Normal"/>
    <w:semiHidden/>
    <w:rsid w:val="006319B1"/>
    <w:pPr>
      <w:numPr>
        <w:ilvl w:val="1"/>
      </w:numPr>
      <w:tabs>
        <w:tab w:val="num" w:pos="2160"/>
      </w:tabs>
      <w:ind w:left="2160" w:hanging="360"/>
    </w:pPr>
  </w:style>
  <w:style w:type="table" w:styleId="TableGrid">
    <w:name w:val="Table Grid"/>
    <w:basedOn w:val="TableNormal"/>
    <w:uiPriority w:val="39"/>
    <w:rsid w:val="008D5E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vel5Subset">
    <w:name w:val="Level 5 Subset"/>
    <w:basedOn w:val="xxxxRulesParagraph"/>
    <w:rsid w:val="00D0540F"/>
    <w:pPr>
      <w:tabs>
        <w:tab w:val="left" w:pos="4440"/>
      </w:tabs>
      <w:ind w:left="4440" w:hanging="1226"/>
    </w:pPr>
  </w:style>
  <w:style w:type="paragraph" w:customStyle="1" w:styleId="Level6Subset">
    <w:name w:val="Level 6 Subset"/>
    <w:basedOn w:val="xxxxRulesParagraph"/>
    <w:rsid w:val="00D0540F"/>
    <w:pPr>
      <w:tabs>
        <w:tab w:val="left" w:pos="5760"/>
      </w:tabs>
      <w:ind w:left="5760" w:hanging="1320"/>
    </w:pPr>
  </w:style>
  <w:style w:type="paragraph" w:customStyle="1" w:styleId="CM4">
    <w:name w:val="CM4"/>
    <w:basedOn w:val="Normal"/>
    <w:next w:val="Normal"/>
    <w:uiPriority w:val="99"/>
    <w:rsid w:val="000A4470"/>
    <w:pPr>
      <w:autoSpaceDE w:val="0"/>
      <w:autoSpaceDN w:val="0"/>
      <w:adjustRightInd w:val="0"/>
    </w:pPr>
    <w:rPr>
      <w:lang w:val="hu-HU"/>
    </w:rPr>
  </w:style>
  <w:style w:type="paragraph" w:customStyle="1" w:styleId="CM1">
    <w:name w:val="CM1"/>
    <w:basedOn w:val="Normal"/>
    <w:next w:val="Normal"/>
    <w:uiPriority w:val="99"/>
    <w:rsid w:val="005C1A43"/>
    <w:pPr>
      <w:autoSpaceDE w:val="0"/>
      <w:autoSpaceDN w:val="0"/>
      <w:adjustRightInd w:val="0"/>
    </w:pPr>
    <w:rPr>
      <w:lang w:val="hu-HU"/>
    </w:rPr>
  </w:style>
  <w:style w:type="paragraph" w:customStyle="1" w:styleId="CM3">
    <w:name w:val="CM3"/>
    <w:basedOn w:val="Normal"/>
    <w:next w:val="Normal"/>
    <w:uiPriority w:val="99"/>
    <w:rsid w:val="005C1A43"/>
    <w:pPr>
      <w:autoSpaceDE w:val="0"/>
      <w:autoSpaceDN w:val="0"/>
      <w:adjustRightInd w:val="0"/>
    </w:pPr>
    <w:rPr>
      <w:lang w:val="hu-HU"/>
    </w:rPr>
  </w:style>
  <w:style w:type="character" w:customStyle="1" w:styleId="Heading6Char">
    <w:name w:val="Heading 6 Char"/>
    <w:basedOn w:val="DefaultParagraphFont"/>
    <w:link w:val="Heading6"/>
    <w:semiHidden/>
    <w:rsid w:val="00897DE0"/>
    <w:rPr>
      <w:rFonts w:asciiTheme="majorHAnsi" w:eastAsiaTheme="majorEastAsia" w:hAnsiTheme="majorHAnsi" w:cstheme="majorBidi"/>
      <w:i/>
      <w:iCs/>
      <w:color w:val="243F60" w:themeColor="accent1" w:themeShade="7F"/>
      <w:szCs w:val="24"/>
    </w:rPr>
  </w:style>
  <w:style w:type="paragraph" w:customStyle="1" w:styleId="xxPolorProcParagraph">
    <w:name w:val="x.x Pol or Proc Paragraph"/>
    <w:basedOn w:val="Normal"/>
    <w:uiPriority w:val="99"/>
    <w:rsid w:val="00582588"/>
    <w:pPr>
      <w:tabs>
        <w:tab w:val="left" w:pos="1440"/>
      </w:tabs>
      <w:spacing w:before="160" w:after="160"/>
      <w:ind w:left="1440" w:hanging="720"/>
    </w:pPr>
    <w:rPr>
      <w:rFonts w:cs="Tahoma"/>
    </w:rPr>
  </w:style>
  <w:style w:type="paragraph" w:styleId="ListParagraph">
    <w:name w:val="List Paragraph"/>
    <w:basedOn w:val="Normal"/>
    <w:uiPriority w:val="34"/>
    <w:qFormat/>
    <w:rsid w:val="00C34283"/>
    <w:pPr>
      <w:spacing w:after="200" w:line="276" w:lineRule="auto"/>
      <w:contextualSpacing/>
      <w:jc w:val="left"/>
    </w:pPr>
    <w:rPr>
      <w:rFonts w:ascii="Calibri" w:eastAsia="Calibri" w:hAnsi="Calibri"/>
      <w:szCs w:val="22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1C62"/>
    <w:rPr>
      <w:rFonts w:ascii="Arial" w:hAnsi="Arial"/>
    </w:rPr>
  </w:style>
  <w:style w:type="paragraph" w:styleId="Revision">
    <w:name w:val="Revision"/>
    <w:hidden/>
    <w:uiPriority w:val="71"/>
    <w:rsid w:val="0082019B"/>
    <w:rPr>
      <w:rFonts w:ascii="Tahoma" w:hAnsi="Tahoma"/>
      <w:sz w:val="22"/>
      <w:szCs w:val="24"/>
    </w:rPr>
  </w:style>
  <w:style w:type="paragraph" w:customStyle="1" w:styleId="Default">
    <w:name w:val="Default"/>
    <w:rsid w:val="00833931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lv-LV"/>
    </w:rPr>
  </w:style>
  <w:style w:type="character" w:styleId="FootnoteReference">
    <w:name w:val="footnote reference"/>
    <w:basedOn w:val="DefaultParagraphFont"/>
    <w:uiPriority w:val="99"/>
    <w:rsid w:val="00691815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904883"/>
    <w:rPr>
      <w:rFonts w:ascii="Arial" w:hAnsi="Arial"/>
      <w:szCs w:val="24"/>
    </w:rPr>
  </w:style>
  <w:style w:type="paragraph" w:customStyle="1" w:styleId="Hyperlink1">
    <w:name w:val="Hyperlink1"/>
    <w:basedOn w:val="Normal"/>
    <w:rsid w:val="00904883"/>
    <w:pPr>
      <w:spacing w:beforeAutospacing="1" w:after="100" w:afterAutospacing="1"/>
      <w:jc w:val="left"/>
    </w:pPr>
    <w:rPr>
      <w:rFonts w:ascii="Times New Roman" w:hAnsi="Times New Roman"/>
      <w:sz w:val="24"/>
      <w:lang w:val="lt-LT" w:eastAsia="lt-LT"/>
    </w:rPr>
  </w:style>
  <w:style w:type="paragraph" w:styleId="FootnoteText">
    <w:name w:val="footnote text"/>
    <w:basedOn w:val="Normal"/>
    <w:link w:val="FootnoteTextChar"/>
    <w:uiPriority w:val="99"/>
    <w:unhideWhenUsed/>
    <w:rsid w:val="00904883"/>
    <w:pPr>
      <w:jc w:val="left"/>
    </w:pPr>
    <w:rPr>
      <w:rFonts w:ascii="Times New Roman" w:hAnsi="Times New Roman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04883"/>
  </w:style>
  <w:style w:type="paragraph" w:customStyle="1" w:styleId="Revizija1">
    <w:name w:val="Revizija1"/>
    <w:hidden/>
    <w:uiPriority w:val="99"/>
    <w:semiHidden/>
    <w:rsid w:val="00845377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00AF5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rsid w:val="003E2025"/>
    <w:rPr>
      <w:rFonts w:ascii="Cambria" w:hAnsi="Cambria"/>
      <w:b/>
      <w:bCs/>
      <w:color w:val="000000"/>
      <w:sz w:val="26"/>
      <w:szCs w:val="26"/>
    </w:rPr>
  </w:style>
  <w:style w:type="character" w:customStyle="1" w:styleId="En-tte1">
    <w:name w:val="En-tête #1_"/>
    <w:link w:val="En-tte11"/>
    <w:uiPriority w:val="99"/>
    <w:locked/>
    <w:rsid w:val="003E2025"/>
    <w:rPr>
      <w:b/>
      <w:bCs/>
      <w:sz w:val="23"/>
      <w:szCs w:val="23"/>
      <w:shd w:val="clear" w:color="auto" w:fill="FFFFFF"/>
    </w:rPr>
  </w:style>
  <w:style w:type="character" w:customStyle="1" w:styleId="Corpsdutexte">
    <w:name w:val="Corps du texte_"/>
    <w:link w:val="Corpsdutexte1"/>
    <w:uiPriority w:val="99"/>
    <w:locked/>
    <w:rsid w:val="003E2025"/>
    <w:rPr>
      <w:sz w:val="23"/>
      <w:szCs w:val="23"/>
      <w:shd w:val="clear" w:color="auto" w:fill="FFFFFF"/>
    </w:rPr>
  </w:style>
  <w:style w:type="character" w:customStyle="1" w:styleId="Corpsdutexte4">
    <w:name w:val="Corps du texte (4)_"/>
    <w:link w:val="Corpsdutexte41"/>
    <w:uiPriority w:val="99"/>
    <w:locked/>
    <w:rsid w:val="003E2025"/>
    <w:rPr>
      <w:b/>
      <w:bCs/>
      <w:i/>
      <w:iCs/>
      <w:sz w:val="19"/>
      <w:szCs w:val="19"/>
      <w:shd w:val="clear" w:color="auto" w:fill="FFFFFF"/>
    </w:rPr>
  </w:style>
  <w:style w:type="character" w:customStyle="1" w:styleId="Corpsdutexte44">
    <w:name w:val="Corps du texte (4)4"/>
    <w:uiPriority w:val="99"/>
    <w:rsid w:val="003E2025"/>
    <w:rPr>
      <w:rFonts w:cs="Times New Roman"/>
      <w:b/>
      <w:bCs/>
      <w:i/>
      <w:iCs/>
      <w:sz w:val="19"/>
      <w:szCs w:val="19"/>
      <w:u w:val="single"/>
    </w:rPr>
  </w:style>
  <w:style w:type="paragraph" w:customStyle="1" w:styleId="En-tte11">
    <w:name w:val="En-tête #11"/>
    <w:basedOn w:val="Normal"/>
    <w:link w:val="En-tte1"/>
    <w:uiPriority w:val="99"/>
    <w:rsid w:val="003E2025"/>
    <w:pPr>
      <w:widowControl w:val="0"/>
      <w:shd w:val="clear" w:color="auto" w:fill="FFFFFF"/>
      <w:spacing w:after="540" w:line="240" w:lineRule="atLeast"/>
      <w:jc w:val="left"/>
      <w:outlineLvl w:val="0"/>
    </w:pPr>
    <w:rPr>
      <w:rFonts w:ascii="Times New Roman" w:hAnsi="Times New Roman"/>
      <w:b/>
      <w:bCs/>
      <w:sz w:val="23"/>
      <w:szCs w:val="23"/>
    </w:rPr>
  </w:style>
  <w:style w:type="paragraph" w:customStyle="1" w:styleId="Corpsdutexte1">
    <w:name w:val="Corps du texte1"/>
    <w:basedOn w:val="Normal"/>
    <w:link w:val="Corpsdutexte"/>
    <w:uiPriority w:val="99"/>
    <w:rsid w:val="003E2025"/>
    <w:pPr>
      <w:widowControl w:val="0"/>
      <w:shd w:val="clear" w:color="auto" w:fill="FFFFFF"/>
      <w:spacing w:before="420" w:after="120" w:line="274" w:lineRule="exact"/>
      <w:ind w:hanging="680"/>
    </w:pPr>
    <w:rPr>
      <w:rFonts w:ascii="Times New Roman" w:hAnsi="Times New Roman"/>
      <w:sz w:val="23"/>
      <w:szCs w:val="23"/>
    </w:rPr>
  </w:style>
  <w:style w:type="paragraph" w:customStyle="1" w:styleId="Corpsdutexte41">
    <w:name w:val="Corps du texte (4)1"/>
    <w:basedOn w:val="Normal"/>
    <w:link w:val="Corpsdutexte4"/>
    <w:uiPriority w:val="99"/>
    <w:rsid w:val="003E2025"/>
    <w:pPr>
      <w:widowControl w:val="0"/>
      <w:shd w:val="clear" w:color="auto" w:fill="FFFFFF"/>
      <w:spacing w:before="180" w:after="180" w:line="240" w:lineRule="atLeast"/>
    </w:pPr>
    <w:rPr>
      <w:rFonts w:ascii="Times New Roman" w:hAnsi="Times New Roman"/>
      <w:b/>
      <w:bCs/>
      <w:i/>
      <w:iCs/>
      <w:sz w:val="19"/>
      <w:szCs w:val="19"/>
    </w:rPr>
  </w:style>
  <w:style w:type="paragraph" w:customStyle="1" w:styleId="doc-ti">
    <w:name w:val="doc-ti"/>
    <w:basedOn w:val="Normal"/>
    <w:rsid w:val="009E0336"/>
    <w:pPr>
      <w:spacing w:beforeAutospacing="1" w:after="100" w:afterAutospacing="1"/>
      <w:jc w:val="left"/>
    </w:pPr>
    <w:rPr>
      <w:rFonts w:ascii="Times New Roman" w:hAnsi="Times New Roman"/>
      <w:sz w:val="24"/>
      <w:lang w:eastAsia="hr-HR"/>
    </w:rPr>
  </w:style>
  <w:style w:type="character" w:customStyle="1" w:styleId="italic">
    <w:name w:val="italic"/>
    <w:basedOn w:val="DefaultParagraphFont"/>
    <w:rsid w:val="00B31317"/>
  </w:style>
  <w:style w:type="paragraph" w:customStyle="1" w:styleId="Normal-article">
    <w:name w:val="Normal - article"/>
    <w:basedOn w:val="Normal"/>
    <w:qFormat/>
    <w:rsid w:val="006E6EA6"/>
    <w:pPr>
      <w:tabs>
        <w:tab w:val="clear" w:pos="2160"/>
      </w:tabs>
      <w:autoSpaceDE w:val="0"/>
      <w:autoSpaceDN w:val="0"/>
      <w:adjustRightInd w:val="0"/>
      <w:spacing w:before="40" w:after="40"/>
      <w:ind w:left="0" w:firstLine="0"/>
      <w:jc w:val="center"/>
    </w:pPr>
    <w:rPr>
      <w:rFonts w:ascii="Century Schoolbook" w:eastAsiaTheme="minorEastAsia" w:hAnsi="Century Schoolbook"/>
      <w:bCs/>
      <w:sz w:val="16"/>
      <w:szCs w:val="22"/>
      <w:lang w:val="en-GB" w:eastAsia="hr-HR"/>
    </w:rPr>
  </w:style>
  <w:style w:type="paragraph" w:styleId="NormalWeb">
    <w:name w:val="Normal (Web)"/>
    <w:basedOn w:val="Normal"/>
    <w:uiPriority w:val="99"/>
    <w:semiHidden/>
    <w:unhideWhenUsed/>
    <w:rsid w:val="00ED1895"/>
    <w:pPr>
      <w:spacing w:beforeAutospacing="1" w:after="100" w:afterAutospacing="1"/>
      <w:jc w:val="left"/>
    </w:pPr>
    <w:rPr>
      <w:rFonts w:ascii="Times New Roman" w:hAnsi="Times New Roman"/>
      <w:sz w:val="24"/>
      <w:lang w:eastAsia="hr-HR"/>
    </w:rPr>
  </w:style>
  <w:style w:type="paragraph" w:customStyle="1" w:styleId="t-12-9-fett-s">
    <w:name w:val="t-12-9-fett-s"/>
    <w:basedOn w:val="Normal"/>
    <w:rsid w:val="00E4170D"/>
    <w:pPr>
      <w:spacing w:beforeAutospacing="1" w:after="100" w:afterAutospacing="1"/>
      <w:jc w:val="center"/>
    </w:pPr>
    <w:rPr>
      <w:rFonts w:ascii="Times New Roman" w:hAnsi="Times New Roman"/>
      <w:b/>
      <w:bCs/>
      <w:sz w:val="28"/>
      <w:szCs w:val="28"/>
      <w:lang w:eastAsia="hr-HR"/>
    </w:rPr>
  </w:style>
  <w:style w:type="paragraph" w:customStyle="1" w:styleId="tb-na16">
    <w:name w:val="tb-na16"/>
    <w:basedOn w:val="Normal"/>
    <w:rsid w:val="00E4170D"/>
    <w:pPr>
      <w:spacing w:beforeAutospacing="1" w:after="100" w:afterAutospacing="1"/>
      <w:jc w:val="center"/>
    </w:pPr>
    <w:rPr>
      <w:rFonts w:ascii="Times New Roman" w:hAnsi="Times New Roman"/>
      <w:b/>
      <w:bCs/>
      <w:sz w:val="36"/>
      <w:szCs w:val="36"/>
      <w:lang w:eastAsia="hr-HR"/>
    </w:rPr>
  </w:style>
  <w:style w:type="paragraph" w:customStyle="1" w:styleId="Arial105ptbefore">
    <w:name w:val="Arial 10 5 pt before"/>
    <w:basedOn w:val="Normal-article"/>
    <w:qFormat/>
    <w:rsid w:val="00387D9E"/>
    <w:pPr>
      <w:spacing w:before="100" w:after="0"/>
      <w:jc w:val="left"/>
    </w:pPr>
    <w:rPr>
      <w:rFonts w:ascii="Arial" w:hAnsi="Arial"/>
      <w:sz w:val="20"/>
    </w:rPr>
  </w:style>
  <w:style w:type="paragraph" w:customStyle="1" w:styleId="tbl-txt">
    <w:name w:val="tbl-txt"/>
    <w:basedOn w:val="Normal"/>
    <w:rsid w:val="00B71C50"/>
    <w:pPr>
      <w:tabs>
        <w:tab w:val="clear" w:pos="2160"/>
      </w:tabs>
      <w:spacing w:before="60" w:after="60"/>
      <w:ind w:left="0" w:firstLine="0"/>
      <w:jc w:val="left"/>
    </w:pPr>
    <w:rPr>
      <w:rFonts w:ascii="Times New Roman" w:hAnsi="Times New Roman"/>
      <w:sz w:val="22"/>
      <w:szCs w:val="22"/>
      <w:lang w:eastAsia="hr-HR"/>
    </w:rPr>
  </w:style>
  <w:style w:type="character" w:styleId="Strong">
    <w:name w:val="Strong"/>
    <w:basedOn w:val="DefaultParagraphFont"/>
    <w:uiPriority w:val="22"/>
    <w:qFormat/>
    <w:rsid w:val="00150525"/>
    <w:rPr>
      <w:b/>
      <w:bCs/>
    </w:rPr>
  </w:style>
  <w:style w:type="character" w:customStyle="1" w:styleId="super">
    <w:name w:val="super"/>
    <w:basedOn w:val="DefaultParagraphFont"/>
    <w:rsid w:val="006711AA"/>
  </w:style>
  <w:style w:type="paragraph" w:styleId="Subtitle">
    <w:name w:val="Subtitle"/>
    <w:basedOn w:val="Normal"/>
    <w:next w:val="Normal"/>
    <w:link w:val="SubtitleChar"/>
    <w:qFormat/>
    <w:rsid w:val="00C37C26"/>
    <w:pPr>
      <w:ind w:left="720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SubtitleChar">
    <w:name w:val="Subtitle Char"/>
    <w:basedOn w:val="DefaultParagraphFont"/>
    <w:link w:val="Subtitle"/>
    <w:rsid w:val="00C37C2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customStyle="1" w:styleId="Normal1">
    <w:name w:val="Normal1"/>
    <w:basedOn w:val="Normal"/>
    <w:rsid w:val="00C02144"/>
    <w:pPr>
      <w:tabs>
        <w:tab w:val="clear" w:pos="2160"/>
      </w:tabs>
      <w:spacing w:beforeAutospacing="1" w:after="100" w:afterAutospacing="1"/>
      <w:ind w:left="0" w:firstLine="0"/>
      <w:jc w:val="left"/>
    </w:pPr>
    <w:rPr>
      <w:rFonts w:ascii="Times New Roman" w:hAnsi="Times New Roman"/>
      <w:sz w:val="24"/>
      <w:lang w:eastAsia="zh-CN"/>
    </w:rPr>
  </w:style>
  <w:style w:type="table" w:customStyle="1" w:styleId="TableGrid1">
    <w:name w:val="Table Grid1"/>
    <w:basedOn w:val="TableNormal"/>
    <w:next w:val="TableGrid"/>
    <w:uiPriority w:val="39"/>
    <w:rsid w:val="00BC19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semiHidden/>
    <w:unhideWhenUsed/>
    <w:rsid w:val="004109BB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FF258F"/>
    <w:pPr>
      <w:ind w:left="680"/>
      <w:jc w:val="both"/>
    </w:pPr>
    <w:rPr>
      <w:rFonts w:ascii="Century Schoolbook" w:hAnsi="Century Schoolbook"/>
      <w:szCs w:val="24"/>
    </w:rPr>
  </w:style>
  <w:style w:type="paragraph" w:customStyle="1" w:styleId="Arial">
    <w:name w:val="Arial"/>
    <w:basedOn w:val="Normal"/>
    <w:qFormat/>
    <w:rsid w:val="008F3D4F"/>
    <w:pPr>
      <w:tabs>
        <w:tab w:val="clear" w:pos="2160"/>
      </w:tabs>
      <w:ind w:left="0" w:firstLine="0"/>
      <w:jc w:val="left"/>
    </w:pPr>
    <w:rPr>
      <w:rFonts w:eastAsiaTheme="minorHAnsi"/>
      <w:szCs w:val="22"/>
      <w:lang w:val="en-GB"/>
    </w:rPr>
  </w:style>
  <w:style w:type="paragraph" w:customStyle="1" w:styleId="Arial10">
    <w:name w:val="Arial 10"/>
    <w:basedOn w:val="XXXRulesParagraph"/>
    <w:qFormat/>
    <w:rsid w:val="00554E25"/>
    <w:pPr>
      <w:numPr>
        <w:numId w:val="0"/>
      </w:numPr>
      <w:spacing w:before="100"/>
    </w:pPr>
    <w:rPr>
      <w:rFonts w:cs="Times New Roman"/>
      <w:color w:val="auto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5A5A36"/>
    <w:pPr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  <w:sz w:val="32"/>
    </w:rPr>
  </w:style>
  <w:style w:type="paragraph" w:styleId="TOC1">
    <w:name w:val="toc 1"/>
    <w:basedOn w:val="Normal"/>
    <w:next w:val="Normal"/>
    <w:autoRedefine/>
    <w:uiPriority w:val="39"/>
    <w:unhideWhenUsed/>
    <w:rsid w:val="003479E0"/>
    <w:pPr>
      <w:tabs>
        <w:tab w:val="right" w:leader="dot" w:pos="9016"/>
      </w:tabs>
      <w:spacing w:after="100"/>
      <w:ind w:left="0"/>
    </w:pPr>
  </w:style>
  <w:style w:type="paragraph" w:styleId="TOC2">
    <w:name w:val="toc 2"/>
    <w:basedOn w:val="Normal"/>
    <w:next w:val="Normal"/>
    <w:autoRedefine/>
    <w:uiPriority w:val="39"/>
    <w:unhideWhenUsed/>
    <w:rsid w:val="003479E0"/>
    <w:pPr>
      <w:tabs>
        <w:tab w:val="clear" w:pos="2160"/>
        <w:tab w:val="right" w:leader="dot" w:pos="9016"/>
      </w:tabs>
      <w:spacing w:after="100"/>
      <w:ind w:left="-160" w:firstLine="0"/>
    </w:pPr>
  </w:style>
  <w:style w:type="character" w:customStyle="1" w:styleId="FooterChar">
    <w:name w:val="Footer Char"/>
    <w:basedOn w:val="DefaultParagraphFont"/>
    <w:link w:val="Footer"/>
    <w:uiPriority w:val="99"/>
    <w:rsid w:val="003479E0"/>
    <w:rPr>
      <w:rFonts w:ascii="Arial" w:hAnsi="Arial"/>
      <w:szCs w:val="24"/>
    </w:rPr>
  </w:style>
  <w:style w:type="character" w:customStyle="1" w:styleId="Heading2Char">
    <w:name w:val="Heading 2 Char"/>
    <w:basedOn w:val="DefaultParagraphFont"/>
    <w:link w:val="Heading2"/>
    <w:rsid w:val="00D70E2C"/>
    <w:rPr>
      <w:rFonts w:ascii="Arial" w:eastAsiaTheme="majorEastAsia" w:hAnsi="Arial" w:cstheme="majorBidi"/>
      <w:b/>
      <w:szCs w:val="26"/>
    </w:rPr>
  </w:style>
  <w:style w:type="character" w:customStyle="1" w:styleId="Heading4Char">
    <w:name w:val="Heading 4 Char"/>
    <w:basedOn w:val="DefaultParagraphFont"/>
    <w:link w:val="Heading4"/>
    <w:rsid w:val="00064A51"/>
    <w:rPr>
      <w:rFonts w:ascii="Lucida Sans Unicode" w:hAnsi="Lucida Sans Unicode"/>
      <w:b/>
      <w:bCs/>
      <w:sz w:val="22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064A51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character" w:customStyle="1" w:styleId="Heading7Char">
    <w:name w:val="Heading 7 Char"/>
    <w:basedOn w:val="DefaultParagraphFont"/>
    <w:link w:val="Heading7"/>
    <w:semiHidden/>
    <w:rsid w:val="00064A51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064A51"/>
    <w:rPr>
      <w:rFonts w:ascii="Calibri" w:hAnsi="Calibri"/>
      <w:i/>
      <w:iCs/>
      <w:sz w:val="22"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064A5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apple-converted-space">
    <w:name w:val="apple-converted-space"/>
    <w:basedOn w:val="DefaultParagraphFont"/>
    <w:rsid w:val="00F02147"/>
  </w:style>
  <w:style w:type="character" w:customStyle="1" w:styleId="Heading1Char">
    <w:name w:val="Heading 1 Char"/>
    <w:basedOn w:val="DefaultParagraphFont"/>
    <w:link w:val="Heading1"/>
    <w:locked/>
    <w:rsid w:val="00E43F36"/>
    <w:rPr>
      <w:rFonts w:ascii="Arial" w:hAnsi="Arial" w:cs="Arial"/>
      <w:b/>
      <w:bCs/>
      <w:noProof/>
      <w:kern w:val="32"/>
      <w:szCs w:val="32"/>
      <w:lang w:val="hr-HR"/>
    </w:rPr>
  </w:style>
  <w:style w:type="character" w:styleId="UnresolvedMention">
    <w:name w:val="Unresolved Mention"/>
    <w:basedOn w:val="DefaultParagraphFont"/>
    <w:uiPriority w:val="99"/>
    <w:semiHidden/>
    <w:unhideWhenUsed/>
    <w:rsid w:val="003874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8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96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852027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7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94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1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71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6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3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08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30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90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740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485949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25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46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3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2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773253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9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5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7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7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2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9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51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6278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0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546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5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722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9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5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63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9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1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0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7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57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22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8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39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9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9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6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35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3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14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4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29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24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83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53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97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77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20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7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09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37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13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6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5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35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2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92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25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91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12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35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00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9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21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regional_policy/sources/docgener/informat/2014/guidance_ms_eligible_costs_fees.pdf" TargetMode="External"/><Relationship Id="rId13" Type="http://schemas.openxmlformats.org/officeDocument/2006/relationships/hyperlink" Target="https://www.fi-compass.eu/sites/default/files/publications/manual_vol-V_ex-ante-assessment-fi-urban-development.pdf" TargetMode="External"/><Relationship Id="rId3" Type="http://schemas.openxmlformats.org/officeDocument/2006/relationships/hyperlink" Target="http://ec.europa.eu/regional_policy/sources/docgener/informat/2014/guidance_management_verifications_hr.pdf" TargetMode="External"/><Relationship Id="rId7" Type="http://schemas.openxmlformats.org/officeDocument/2006/relationships/hyperlink" Target="https://www.fi-compass.eu/sites/default/files/publications/manual_vol-I_ex-ante-assessment-general-metholology.pdf" TargetMode="External"/><Relationship Id="rId12" Type="http://schemas.openxmlformats.org/officeDocument/2006/relationships/hyperlink" Target="https://www.fi-compass.eu/sites/default/files/publications/manual_vol-IV_ex-ante-assessment-support-low-carbon-economy.pdf" TargetMode="External"/><Relationship Id="rId2" Type="http://schemas.openxmlformats.org/officeDocument/2006/relationships/hyperlink" Target="http://ec.europa.eu/regional_policy/en/information/publications/guidelines/2015/guidance-for-member-states-on-article-37-2-cpr-ex-ante-assessment" TargetMode="External"/><Relationship Id="rId1" Type="http://schemas.openxmlformats.org/officeDocument/2006/relationships/hyperlink" Target="http://eur-lex.europa.eu/legal-content/HR/TXT/HTML/?uri=CELEX:52016XC0729(01)&amp;from=EN" TargetMode="External"/><Relationship Id="rId6" Type="http://schemas.openxmlformats.org/officeDocument/2006/relationships/hyperlink" Target="http://ec.europa.eu/regional_policy/sources/thefunds/fin_inst/pdf/fi_esif_2014_2020.pdf" TargetMode="External"/><Relationship Id="rId11" Type="http://schemas.openxmlformats.org/officeDocument/2006/relationships/hyperlink" Target="http://ec.europa.eu/regional_policy/sources/thefunds/fin_inst/pdf/ex_ante_vol3.pdf" TargetMode="External"/><Relationship Id="rId5" Type="http://schemas.openxmlformats.org/officeDocument/2006/relationships/hyperlink" Target="http://ec.europa.eu/regional_policy/sources/docgener/informat/2014/guidance_glossary.pdf" TargetMode="External"/><Relationship Id="rId15" Type="http://schemas.openxmlformats.org/officeDocument/2006/relationships/hyperlink" Target="http://ec.europa.eu/regional_policy/en/information/publications/guidelines/2015/guidance-for-member-states-on-article-41-cpr-requests-for-payment" TargetMode="External"/><Relationship Id="rId10" Type="http://schemas.openxmlformats.org/officeDocument/2006/relationships/hyperlink" Target="http://ec.europa.eu/regional_policy/sources/thefunds/fin_inst/pdf/ex_ante_vol2.pdf" TargetMode="External"/><Relationship Id="rId4" Type="http://schemas.openxmlformats.org/officeDocument/2006/relationships/hyperlink" Target="http://ec.europa.eu/regional_policy/en/information/publications/guidelines/2015/guidance-for-member-states-on-article-37-4-cpr-support-to-enterprises-working-capital" TargetMode="External"/><Relationship Id="rId9" Type="http://schemas.openxmlformats.org/officeDocument/2006/relationships/hyperlink" Target="http://ec.europa.eu/regional_policy/sources/thefunds/fin_inst/pdf/ex_ante_vol1.pdf" TargetMode="External"/><Relationship Id="rId14" Type="http://schemas.openxmlformats.org/officeDocument/2006/relationships/hyperlink" Target="http://ec.europa.eu/regional_policy/sources/thefunds/fin_inst/pdf/ex_ante_training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ysClr val="window" lastClr="FFFFFF"/>
        </a:solidFill>
        <a:ln w="12700" cap="flat" cmpd="sng" algn="ctr">
          <a:solidFill>
            <a:sysClr val="windowText" lastClr="000000"/>
          </a:solidFill>
          <a:prstDash val="solid"/>
        </a:ln>
        <a:effectLst/>
      </a:spPr>
      <a:bodyPr rtlCol="0" anchor="ctr"/>
      <a:lstStyle/>
    </a:spDef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907DA8F1C64F428E4CAE1464D76AD2" ma:contentTypeVersion="2" ma:contentTypeDescription="Stvaranje novog dokumenta." ma:contentTypeScope="" ma:versionID="f6b7dcc3b8407945c128ea3c727bcc68">
  <xsd:schema xmlns:xsd="http://www.w3.org/2001/XMLSchema" xmlns:xs="http://www.w3.org/2001/XMLSchema" xmlns:p="http://schemas.microsoft.com/office/2006/metadata/properties" xmlns:ns2="e7897449-8e6f-4cef-be58-e81a4abd4035" targetNamespace="http://schemas.microsoft.com/office/2006/metadata/properties" ma:root="true" ma:fieldsID="7cde7bdc0cf67b24730c4b5d8999472f" ns2:_="">
    <xsd:import namespace="e7897449-8e6f-4cef-be58-e81a4abd403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97449-8e6f-4cef-be58-e81a4abd403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ajednički se koristi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ji o zajedničkom korištenju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43C86E-016F-4087-93EE-CD8A4FC72E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F84A55-E6B3-4D72-80D1-83406C30B7C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0B2959C-8EF5-4303-B587-E2F27FDDA2C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2AEA25-E722-4115-9D6E-146C6CAE24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97449-8e6f-4cef-be58-e81a4abd40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32</Pages>
  <Words>7997</Words>
  <Characters>45588</Characters>
  <Application>Microsoft Office Word</Application>
  <DocSecurity>0</DocSecurity>
  <Lines>379</Lines>
  <Paragraphs>106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Tekst ZNP-1</vt:lpstr>
      <vt:lpstr>Tekst ZNP-1</vt:lpstr>
    </vt:vector>
  </TitlesOfParts>
  <Company/>
  <LinksUpToDate>false</LinksUpToDate>
  <CharactersWithSpaces>53479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Tekst ZNP-1</dc:title>
  <dc:creator>user</dc:creator>
  <cp:lastModifiedBy>Ivana Fekete</cp:lastModifiedBy>
  <cp:revision>49</cp:revision>
  <cp:lastPrinted>2020-01-15T09:51:00Z</cp:lastPrinted>
  <dcterms:created xsi:type="dcterms:W3CDTF">2020-01-21T09:35:00Z</dcterms:created>
  <dcterms:modified xsi:type="dcterms:W3CDTF">2020-12-03T14:16:00Z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0x010100CE907DA8F1C64F428E4CAE1464D76AD2</vt:lpwstr>
  </property>
</Properties>
</file>