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E8DEE5" w14:textId="77777777" w:rsidR="00CF00B0" w:rsidRPr="00E44923" w:rsidRDefault="00CF00B0" w:rsidP="00E44923">
      <w:pPr>
        <w:autoSpaceDE w:val="0"/>
        <w:autoSpaceDN w:val="0"/>
        <w:adjustRightInd w:val="0"/>
        <w:spacing w:before="0"/>
        <w:ind w:left="0"/>
        <w:rPr>
          <w:rFonts w:eastAsia="Times New Roman"/>
          <w:b/>
          <w:lang w:val="hr-HR" w:eastAsia="lv-LV"/>
        </w:rPr>
      </w:pPr>
    </w:p>
    <w:p w14:paraId="2E4E81D7" w14:textId="104BA9FE" w:rsidR="00B21D83" w:rsidRPr="00E44923" w:rsidRDefault="00B21D83" w:rsidP="000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autoSpaceDE w:val="0"/>
        <w:autoSpaceDN w:val="0"/>
        <w:adjustRightInd w:val="0"/>
        <w:spacing w:before="0"/>
        <w:jc w:val="center"/>
        <w:rPr>
          <w:rFonts w:eastAsia="Times New Roman"/>
          <w:b/>
          <w:lang w:val="hr-HR" w:eastAsia="lv-LV"/>
        </w:rPr>
      </w:pPr>
      <w:r w:rsidRPr="00E44923">
        <w:rPr>
          <w:rFonts w:eastAsia="Times New Roman"/>
          <w:b/>
          <w:lang w:val="hr-HR" w:eastAsia="lv-LV"/>
        </w:rPr>
        <w:t>Metodolog</w:t>
      </w:r>
      <w:r w:rsidR="008F6835" w:rsidRPr="00E44923">
        <w:rPr>
          <w:rFonts w:eastAsia="Times New Roman"/>
          <w:b/>
          <w:lang w:val="hr-HR" w:eastAsia="lv-LV"/>
        </w:rPr>
        <w:t xml:space="preserve">ija za procjenu rizičnosti projekta </w:t>
      </w:r>
      <w:r w:rsidR="00C0686A" w:rsidRPr="00E44923">
        <w:rPr>
          <w:rFonts w:eastAsia="Times New Roman"/>
          <w:b/>
          <w:lang w:val="hr-HR" w:eastAsia="lv-LV"/>
        </w:rPr>
        <w:t>na temelju koje će se provoditi</w:t>
      </w:r>
      <w:r w:rsidR="008F6835" w:rsidRPr="00E44923">
        <w:rPr>
          <w:rFonts w:eastAsia="Times New Roman"/>
          <w:b/>
          <w:lang w:val="hr-HR" w:eastAsia="lv-LV"/>
        </w:rPr>
        <w:t xml:space="preserve"> </w:t>
      </w:r>
      <w:r w:rsidR="00C0686A" w:rsidRPr="00E44923">
        <w:rPr>
          <w:rFonts w:eastAsia="Times New Roman"/>
          <w:b/>
          <w:lang w:val="hr-HR" w:eastAsia="lv-LV"/>
        </w:rPr>
        <w:t>p</w:t>
      </w:r>
      <w:r w:rsidR="008F6835" w:rsidRPr="00E44923">
        <w:rPr>
          <w:rFonts w:eastAsia="Times New Roman"/>
          <w:b/>
          <w:lang w:val="hr-HR" w:eastAsia="lv-LV"/>
        </w:rPr>
        <w:t>r</w:t>
      </w:r>
      <w:r w:rsidR="00F23970" w:rsidRPr="00E44923">
        <w:rPr>
          <w:rFonts w:eastAsia="Times New Roman"/>
          <w:b/>
          <w:lang w:val="hr-HR" w:eastAsia="lv-LV"/>
        </w:rPr>
        <w:t>o</w:t>
      </w:r>
      <w:r w:rsidR="008F6835" w:rsidRPr="00E44923">
        <w:rPr>
          <w:rFonts w:eastAsia="Times New Roman"/>
          <w:b/>
          <w:lang w:val="hr-HR" w:eastAsia="lv-LV"/>
        </w:rPr>
        <w:t>vjere na licu mjesta</w:t>
      </w:r>
      <w:r w:rsidR="00825D09" w:rsidRPr="00E44923">
        <w:rPr>
          <w:rFonts w:eastAsia="Times New Roman"/>
          <w:b/>
          <w:lang w:val="hr-HR" w:eastAsia="lv-LV"/>
        </w:rPr>
        <w:t xml:space="preserve"> (PLM)</w:t>
      </w:r>
      <w:r w:rsidRPr="00E44923">
        <w:rPr>
          <w:rFonts w:eastAsia="Times New Roman"/>
          <w:b/>
          <w:lang w:val="hr-HR" w:eastAsia="lv-LV"/>
        </w:rPr>
        <w:t xml:space="preserve">  </w:t>
      </w:r>
    </w:p>
    <w:p w14:paraId="14D7F40B" w14:textId="77777777" w:rsidR="00B21D83" w:rsidRPr="00E44923" w:rsidRDefault="00B21D83" w:rsidP="00560A31">
      <w:pPr>
        <w:spacing w:before="0"/>
        <w:rPr>
          <w:rFonts w:eastAsia="Times New Roman"/>
          <w:b/>
          <w:lang w:val="hr-HR" w:eastAsia="lv-LV"/>
        </w:rPr>
      </w:pPr>
    </w:p>
    <w:p w14:paraId="0562C1A6" w14:textId="2419E576" w:rsidR="00B21D83" w:rsidRPr="00E44923" w:rsidRDefault="00FD0181" w:rsidP="00560A31">
      <w:pPr>
        <w:pStyle w:val="Default"/>
        <w:spacing w:before="0"/>
        <w:rPr>
          <w:rFonts w:eastAsia="SimSun"/>
          <w:color w:val="auto"/>
          <w:lang w:val="hr-HR" w:eastAsia="zh-CN"/>
        </w:rPr>
      </w:pPr>
      <w:r w:rsidRPr="00E44923">
        <w:rPr>
          <w:rFonts w:eastAsia="SimSun"/>
          <w:color w:val="auto"/>
          <w:lang w:val="hr-HR" w:eastAsia="zh-CN"/>
        </w:rPr>
        <w:t>Prilikom</w:t>
      </w:r>
      <w:r w:rsidR="00597A1D" w:rsidRPr="00E44923">
        <w:rPr>
          <w:rFonts w:eastAsia="SimSun"/>
          <w:color w:val="auto"/>
          <w:lang w:val="hr-HR" w:eastAsia="zh-CN"/>
        </w:rPr>
        <w:t xml:space="preserve"> uzorkovanj</w:t>
      </w:r>
      <w:r w:rsidRPr="00E44923">
        <w:rPr>
          <w:rFonts w:eastAsia="SimSun"/>
          <w:color w:val="auto"/>
          <w:lang w:val="hr-HR" w:eastAsia="zh-CN"/>
        </w:rPr>
        <w:t>a</w:t>
      </w:r>
      <w:r w:rsidR="00597A1D" w:rsidRPr="00E44923">
        <w:rPr>
          <w:rFonts w:eastAsia="SimSun"/>
          <w:color w:val="auto"/>
          <w:lang w:val="hr-HR" w:eastAsia="zh-CN"/>
        </w:rPr>
        <w:t xml:space="preserve"> operacija za </w:t>
      </w:r>
      <w:r w:rsidR="008162ED" w:rsidRPr="00E44923">
        <w:rPr>
          <w:rFonts w:eastAsia="SimSun"/>
          <w:color w:val="auto"/>
          <w:lang w:val="hr-HR" w:eastAsia="zh-CN"/>
        </w:rPr>
        <w:t>PLM</w:t>
      </w:r>
      <w:r w:rsidR="00597A1D" w:rsidRPr="00E44923">
        <w:rPr>
          <w:rFonts w:eastAsia="SimSun"/>
          <w:color w:val="auto"/>
          <w:lang w:val="hr-HR" w:eastAsia="zh-CN"/>
        </w:rPr>
        <w:t xml:space="preserve">, </w:t>
      </w:r>
      <w:r w:rsidR="00C0686A" w:rsidRPr="00E44923">
        <w:rPr>
          <w:rFonts w:eastAsia="SimSun"/>
          <w:color w:val="auto"/>
          <w:lang w:val="hr-HR" w:eastAsia="zh-CN"/>
        </w:rPr>
        <w:t>primjenjuju se</w:t>
      </w:r>
      <w:r w:rsidR="00597A1D" w:rsidRPr="00E44923">
        <w:rPr>
          <w:rFonts w:eastAsia="SimSun"/>
          <w:color w:val="auto"/>
          <w:lang w:val="hr-HR" w:eastAsia="zh-CN"/>
        </w:rPr>
        <w:t xml:space="preserve"> sljedeća načela: </w:t>
      </w:r>
    </w:p>
    <w:p w14:paraId="38AB9E0D" w14:textId="103B9449" w:rsidR="00B21D83" w:rsidRPr="00E44923" w:rsidRDefault="00C0686A" w:rsidP="00560A31">
      <w:pPr>
        <w:pStyle w:val="Default"/>
        <w:numPr>
          <w:ilvl w:val="0"/>
          <w:numId w:val="23"/>
        </w:numPr>
        <w:spacing w:before="0"/>
        <w:rPr>
          <w:rFonts w:eastAsia="SimSun"/>
          <w:color w:val="auto"/>
          <w:lang w:val="hr-HR" w:eastAsia="zh-CN"/>
        </w:rPr>
      </w:pPr>
      <w:r w:rsidRPr="00E44923">
        <w:rPr>
          <w:rFonts w:eastAsia="SimSun"/>
          <w:color w:val="auto"/>
          <w:lang w:val="hr-HR" w:eastAsia="zh-CN"/>
        </w:rPr>
        <w:t xml:space="preserve">nadležno </w:t>
      </w:r>
      <w:r w:rsidR="0039494D" w:rsidRPr="00E44923">
        <w:rPr>
          <w:rFonts w:eastAsia="SimSun"/>
          <w:color w:val="auto"/>
          <w:lang w:val="hr-HR" w:eastAsia="zh-CN"/>
        </w:rPr>
        <w:t xml:space="preserve">tijelo </w:t>
      </w:r>
      <w:r w:rsidRPr="00E44923">
        <w:rPr>
          <w:rFonts w:eastAsia="SimSun"/>
          <w:color w:val="auto"/>
          <w:lang w:val="hr-HR" w:eastAsia="zh-CN"/>
        </w:rPr>
        <w:t>vodi</w:t>
      </w:r>
      <w:r w:rsidR="0039494D" w:rsidRPr="00E44923">
        <w:rPr>
          <w:rFonts w:eastAsia="SimSun"/>
          <w:color w:val="auto"/>
          <w:lang w:val="hr-HR" w:eastAsia="zh-CN"/>
        </w:rPr>
        <w:t xml:space="preserve"> evidenciju </w:t>
      </w:r>
      <w:r w:rsidR="00FD0181" w:rsidRPr="00E44923">
        <w:rPr>
          <w:rFonts w:eastAsia="SimSun"/>
          <w:color w:val="auto"/>
          <w:lang w:val="hr-HR" w:eastAsia="zh-CN"/>
        </w:rPr>
        <w:t>operacija odabranih</w:t>
      </w:r>
      <w:r w:rsidR="0039494D" w:rsidRPr="00E44923">
        <w:rPr>
          <w:rFonts w:eastAsia="SimSun"/>
          <w:color w:val="auto"/>
          <w:lang w:val="hr-HR" w:eastAsia="zh-CN"/>
        </w:rPr>
        <w:t xml:space="preserve"> za provjeru</w:t>
      </w:r>
      <w:r w:rsidR="00B21D83" w:rsidRPr="00E44923">
        <w:rPr>
          <w:rFonts w:eastAsia="SimSun"/>
          <w:color w:val="auto"/>
          <w:lang w:val="hr-HR" w:eastAsia="zh-CN"/>
        </w:rPr>
        <w:t>;</w:t>
      </w:r>
    </w:p>
    <w:p w14:paraId="368B2EA1" w14:textId="69AB9522" w:rsidR="00E44923" w:rsidRPr="00E44923" w:rsidRDefault="00E44923" w:rsidP="00560A31">
      <w:pPr>
        <w:pStyle w:val="Default"/>
        <w:numPr>
          <w:ilvl w:val="0"/>
          <w:numId w:val="23"/>
        </w:numPr>
        <w:spacing w:before="0"/>
        <w:rPr>
          <w:rFonts w:eastAsia="SimSun"/>
          <w:color w:val="auto"/>
          <w:lang w:val="hr-HR" w:eastAsia="zh-CN"/>
        </w:rPr>
      </w:pPr>
      <w:r w:rsidRPr="00E44923">
        <w:rPr>
          <w:rFonts w:eastAsia="SimSun"/>
          <w:color w:val="auto"/>
          <w:lang w:val="hr-HR" w:eastAsia="zh-CN"/>
        </w:rPr>
        <w:t>metodologija uzorkovanja procjenjuje se jednom godišnje;</w:t>
      </w:r>
    </w:p>
    <w:p w14:paraId="6FF59CD0" w14:textId="1442E5DE" w:rsidR="00B21D83" w:rsidRPr="00E44923" w:rsidRDefault="0039494D" w:rsidP="00560A31">
      <w:pPr>
        <w:pStyle w:val="Default"/>
        <w:numPr>
          <w:ilvl w:val="0"/>
          <w:numId w:val="23"/>
        </w:numPr>
        <w:spacing w:before="0"/>
        <w:rPr>
          <w:rFonts w:eastAsia="SimSun"/>
          <w:color w:val="auto"/>
          <w:lang w:val="hr-HR" w:eastAsia="zh-CN"/>
        </w:rPr>
      </w:pPr>
      <w:r w:rsidRPr="00E44923">
        <w:rPr>
          <w:rFonts w:eastAsia="SimSun"/>
          <w:color w:val="auto"/>
          <w:lang w:val="hr-HR" w:eastAsia="zh-CN"/>
        </w:rPr>
        <w:t xml:space="preserve">niti jedna operacija </w:t>
      </w:r>
      <w:r w:rsidR="00C0686A" w:rsidRPr="00E44923">
        <w:rPr>
          <w:rFonts w:eastAsia="SimSun"/>
          <w:color w:val="auto"/>
          <w:lang w:val="hr-HR" w:eastAsia="zh-CN"/>
        </w:rPr>
        <w:t>se ne isključuje iz</w:t>
      </w:r>
      <w:r w:rsidRPr="00E44923">
        <w:rPr>
          <w:rFonts w:eastAsia="SimSun"/>
          <w:color w:val="auto"/>
          <w:lang w:val="hr-HR" w:eastAsia="zh-CN"/>
        </w:rPr>
        <w:t xml:space="preserve"> odab</w:t>
      </w:r>
      <w:r w:rsidR="00C0686A" w:rsidRPr="00E44923">
        <w:rPr>
          <w:rFonts w:eastAsia="SimSun"/>
          <w:color w:val="auto"/>
          <w:lang w:val="hr-HR" w:eastAsia="zh-CN"/>
        </w:rPr>
        <w:t>ira</w:t>
      </w:r>
      <w:r w:rsidRPr="00E44923">
        <w:rPr>
          <w:rFonts w:eastAsia="SimSun"/>
          <w:color w:val="auto"/>
          <w:lang w:val="hr-HR" w:eastAsia="zh-CN"/>
        </w:rPr>
        <w:t xml:space="preserve"> za </w:t>
      </w:r>
      <w:r w:rsidR="008162ED" w:rsidRPr="00E44923">
        <w:rPr>
          <w:rFonts w:eastAsia="SimSun"/>
          <w:color w:val="auto"/>
          <w:lang w:val="hr-HR" w:eastAsia="zh-CN"/>
        </w:rPr>
        <w:t>PLM</w:t>
      </w:r>
      <w:r w:rsidR="00B21D83" w:rsidRPr="00E44923">
        <w:rPr>
          <w:rFonts w:eastAsia="SimSun"/>
          <w:color w:val="auto"/>
          <w:lang w:val="hr-HR" w:eastAsia="zh-CN"/>
        </w:rPr>
        <w:t>.</w:t>
      </w:r>
    </w:p>
    <w:p w14:paraId="4C372A39" w14:textId="77777777" w:rsidR="00B21D83" w:rsidRPr="00E44923" w:rsidRDefault="00B21D83" w:rsidP="00C0686A">
      <w:pPr>
        <w:spacing w:before="0"/>
        <w:ind w:left="0"/>
        <w:rPr>
          <w:lang w:val="hr-HR"/>
        </w:rPr>
      </w:pPr>
    </w:p>
    <w:p w14:paraId="7B5BAB0A" w14:textId="32DB800A" w:rsidR="00B21D83" w:rsidRPr="00E44923" w:rsidRDefault="00416435" w:rsidP="00560A31">
      <w:pPr>
        <w:spacing w:before="0"/>
        <w:rPr>
          <w:lang w:val="hr-HR"/>
        </w:rPr>
      </w:pPr>
      <w:r w:rsidRPr="00E44923">
        <w:rPr>
          <w:lang w:val="hr-HR"/>
        </w:rPr>
        <w:t>PT2</w:t>
      </w:r>
      <w:r w:rsidR="00FD0181" w:rsidRPr="00E44923">
        <w:rPr>
          <w:lang w:val="hr-HR"/>
        </w:rPr>
        <w:t xml:space="preserve"> </w:t>
      </w:r>
      <w:r w:rsidR="007C151F" w:rsidRPr="00E44923">
        <w:rPr>
          <w:lang w:val="hr-HR"/>
        </w:rPr>
        <w:t>obavlja procjenu rizi</w:t>
      </w:r>
      <w:r w:rsidR="002B5839" w:rsidRPr="00E44923">
        <w:rPr>
          <w:lang w:val="hr-HR"/>
        </w:rPr>
        <w:t>čnosti</w:t>
      </w:r>
      <w:r w:rsidR="007C151F" w:rsidRPr="00E44923">
        <w:rPr>
          <w:lang w:val="hr-HR"/>
        </w:rPr>
        <w:t xml:space="preserve"> projekta (procjen</w:t>
      </w:r>
      <w:r w:rsidR="002719CB" w:rsidRPr="00E44923">
        <w:rPr>
          <w:lang w:val="hr-HR"/>
        </w:rPr>
        <w:t>a</w:t>
      </w:r>
      <w:r w:rsidR="007C151F" w:rsidRPr="00E44923">
        <w:rPr>
          <w:lang w:val="hr-HR"/>
        </w:rPr>
        <w:t xml:space="preserve"> rizi</w:t>
      </w:r>
      <w:r w:rsidR="002B5839" w:rsidRPr="00E44923">
        <w:rPr>
          <w:lang w:val="hr-HR"/>
        </w:rPr>
        <w:t>ka</w:t>
      </w:r>
      <w:r w:rsidR="007C151F" w:rsidRPr="00E44923">
        <w:rPr>
          <w:lang w:val="hr-HR"/>
        </w:rPr>
        <w:t xml:space="preserve">) </w:t>
      </w:r>
      <w:r w:rsidR="0037368D" w:rsidRPr="00E44923">
        <w:rPr>
          <w:lang w:val="hr-HR"/>
        </w:rPr>
        <w:t>kako bi utvrdi</w:t>
      </w:r>
      <w:r w:rsidR="00FD0181" w:rsidRPr="00E44923">
        <w:rPr>
          <w:lang w:val="hr-HR"/>
        </w:rPr>
        <w:t>la</w:t>
      </w:r>
      <w:r w:rsidR="0037368D" w:rsidRPr="00E44923">
        <w:rPr>
          <w:lang w:val="hr-HR"/>
        </w:rPr>
        <w:t xml:space="preserve"> razinu rizi</w:t>
      </w:r>
      <w:r w:rsidR="008162ED" w:rsidRPr="00E44923">
        <w:rPr>
          <w:lang w:val="hr-HR"/>
        </w:rPr>
        <w:t>čnosti</w:t>
      </w:r>
      <w:r w:rsidR="0037368D" w:rsidRPr="00E44923">
        <w:rPr>
          <w:lang w:val="hr-HR"/>
        </w:rPr>
        <w:t xml:space="preserve"> projekta </w:t>
      </w:r>
      <w:r w:rsidR="00B21D83" w:rsidRPr="00E44923">
        <w:rPr>
          <w:lang w:val="hr-HR"/>
        </w:rPr>
        <w:t>(</w:t>
      </w:r>
      <w:r w:rsidR="0037368D" w:rsidRPr="00E44923">
        <w:rPr>
          <w:lang w:val="hr-HR"/>
        </w:rPr>
        <w:t>visokorizičan, srednje</w:t>
      </w:r>
      <w:r w:rsidR="008162ED" w:rsidRPr="00E44923">
        <w:rPr>
          <w:lang w:val="hr-HR"/>
        </w:rPr>
        <w:t>-</w:t>
      </w:r>
      <w:r w:rsidR="0037368D" w:rsidRPr="00E44923">
        <w:rPr>
          <w:lang w:val="hr-HR"/>
        </w:rPr>
        <w:t>rizičan i niskorizičan</w:t>
      </w:r>
      <w:r w:rsidR="00B21D83" w:rsidRPr="00E44923">
        <w:rPr>
          <w:lang w:val="hr-HR"/>
        </w:rPr>
        <w:t xml:space="preserve">) </w:t>
      </w:r>
      <w:r w:rsidR="008162ED" w:rsidRPr="00E44923">
        <w:rPr>
          <w:lang w:val="hr-HR"/>
        </w:rPr>
        <w:t xml:space="preserve">te </w:t>
      </w:r>
      <w:r w:rsidR="0037368D" w:rsidRPr="00E44923">
        <w:rPr>
          <w:lang w:val="hr-HR"/>
        </w:rPr>
        <w:t xml:space="preserve">kako bi se mogla planirati učestalosti i intenzitet </w:t>
      </w:r>
      <w:r w:rsidR="008162ED" w:rsidRPr="00E44923">
        <w:rPr>
          <w:lang w:val="hr-HR"/>
        </w:rPr>
        <w:t>PLM-ova</w:t>
      </w:r>
      <w:r w:rsidR="00B21D83" w:rsidRPr="00E44923">
        <w:rPr>
          <w:lang w:val="hr-HR"/>
        </w:rPr>
        <w:t xml:space="preserve">. </w:t>
      </w:r>
      <w:r w:rsidR="0037368D" w:rsidRPr="00E44923">
        <w:rPr>
          <w:lang w:val="hr-HR"/>
        </w:rPr>
        <w:t>Procjena rizi</w:t>
      </w:r>
      <w:r w:rsidR="002B5839" w:rsidRPr="00E44923">
        <w:rPr>
          <w:lang w:val="hr-HR"/>
        </w:rPr>
        <w:t>čnosti</w:t>
      </w:r>
      <w:r w:rsidR="0037368D" w:rsidRPr="00E44923">
        <w:rPr>
          <w:lang w:val="hr-HR"/>
        </w:rPr>
        <w:t xml:space="preserve"> </w:t>
      </w:r>
      <w:r w:rsidR="00C0686A" w:rsidRPr="00E44923">
        <w:rPr>
          <w:lang w:val="hr-HR"/>
        </w:rPr>
        <w:t>radi se</w:t>
      </w:r>
      <w:r w:rsidR="0037368D" w:rsidRPr="00E44923">
        <w:rPr>
          <w:lang w:val="hr-HR"/>
        </w:rPr>
        <w:t xml:space="preserve"> </w:t>
      </w:r>
      <w:r w:rsidR="008162ED" w:rsidRPr="00E44923">
        <w:rPr>
          <w:lang w:val="hr-HR"/>
        </w:rPr>
        <w:t>na sljedeći način</w:t>
      </w:r>
      <w:r w:rsidR="00B21D83" w:rsidRPr="00E44923">
        <w:rPr>
          <w:lang w:val="hr-HR"/>
        </w:rPr>
        <w:t>:</w:t>
      </w:r>
    </w:p>
    <w:p w14:paraId="06BD92C7" w14:textId="3D5C03C3" w:rsidR="00B21D83" w:rsidRPr="00E44923" w:rsidRDefault="00B21D83" w:rsidP="00560A31">
      <w:pPr>
        <w:spacing w:before="0"/>
        <w:ind w:left="720"/>
        <w:rPr>
          <w:lang w:val="hr-HR"/>
        </w:rPr>
      </w:pPr>
      <w:r w:rsidRPr="00E44923">
        <w:rPr>
          <w:lang w:val="hr-HR"/>
        </w:rPr>
        <w:br/>
        <w:t>1. N</w:t>
      </w:r>
      <w:r w:rsidR="002719CB" w:rsidRPr="00E44923">
        <w:rPr>
          <w:lang w:val="hr-HR"/>
        </w:rPr>
        <w:t>ajkasnije mjesec dana</w:t>
      </w:r>
      <w:r w:rsidR="00FB230C" w:rsidRPr="00E44923">
        <w:rPr>
          <w:lang w:val="hr-HR"/>
        </w:rPr>
        <w:t xml:space="preserve"> </w:t>
      </w:r>
      <w:r w:rsidR="008162ED" w:rsidRPr="00E44923">
        <w:rPr>
          <w:lang w:val="hr-HR"/>
        </w:rPr>
        <w:t>od</w:t>
      </w:r>
      <w:r w:rsidR="00FB230C" w:rsidRPr="00E44923">
        <w:rPr>
          <w:lang w:val="hr-HR"/>
        </w:rPr>
        <w:t xml:space="preserve"> sklapanja ugovora</w:t>
      </w:r>
      <w:r w:rsidR="00E44923" w:rsidRPr="00E44923">
        <w:rPr>
          <w:lang w:val="hr-HR"/>
        </w:rPr>
        <w:t xml:space="preserve"> o dodjeli bespovratnih sredstava</w:t>
      </w:r>
      <w:r w:rsidR="00FB230C" w:rsidRPr="00E44923">
        <w:rPr>
          <w:lang w:val="hr-HR"/>
        </w:rPr>
        <w:t xml:space="preserve"> </w:t>
      </w:r>
      <w:r w:rsidR="00C0686A" w:rsidRPr="00E44923">
        <w:rPr>
          <w:lang w:val="hr-HR"/>
        </w:rPr>
        <w:t>s k</w:t>
      </w:r>
      <w:r w:rsidR="002719CB" w:rsidRPr="00E44923">
        <w:rPr>
          <w:lang w:val="hr-HR"/>
        </w:rPr>
        <w:t>orisnikom</w:t>
      </w:r>
      <w:r w:rsidR="002D7A3F">
        <w:rPr>
          <w:lang w:val="hr-HR"/>
        </w:rPr>
        <w:t xml:space="preserve"> (ugovor)</w:t>
      </w:r>
      <w:r w:rsidR="00FB2590" w:rsidRPr="00E44923">
        <w:rPr>
          <w:lang w:val="hr-HR"/>
        </w:rPr>
        <w:t>,</w:t>
      </w:r>
      <w:r w:rsidR="002719CB" w:rsidRPr="00E44923">
        <w:rPr>
          <w:lang w:val="hr-HR"/>
        </w:rPr>
        <w:t xml:space="preserve"> provodi se </w:t>
      </w:r>
      <w:r w:rsidR="008162ED" w:rsidRPr="00E44923">
        <w:rPr>
          <w:b/>
          <w:lang w:val="hr-HR"/>
        </w:rPr>
        <w:t>Inicijalna</w:t>
      </w:r>
      <w:r w:rsidR="00C555BB" w:rsidRPr="00E44923">
        <w:rPr>
          <w:b/>
          <w:lang w:val="hr-HR"/>
        </w:rPr>
        <w:t>/početna</w:t>
      </w:r>
      <w:r w:rsidR="002719CB" w:rsidRPr="00E44923">
        <w:rPr>
          <w:b/>
          <w:lang w:val="hr-HR"/>
        </w:rPr>
        <w:t xml:space="preserve"> procjena rizi</w:t>
      </w:r>
      <w:r w:rsidR="00BD6043" w:rsidRPr="00E44923">
        <w:rPr>
          <w:b/>
          <w:lang w:val="hr-HR"/>
        </w:rPr>
        <w:t>čnosti</w:t>
      </w:r>
      <w:r w:rsidRPr="00E44923">
        <w:rPr>
          <w:lang w:val="hr-HR"/>
        </w:rPr>
        <w:t xml:space="preserve"> </w:t>
      </w:r>
      <w:r w:rsidR="0093092B" w:rsidRPr="00E44923">
        <w:rPr>
          <w:lang w:val="hr-HR"/>
        </w:rPr>
        <w:t>za sve projekte koji nisu Veliki projekti sukladno članku 100</w:t>
      </w:r>
      <w:r w:rsidR="008162ED" w:rsidRPr="00E44923">
        <w:rPr>
          <w:lang w:val="hr-HR"/>
        </w:rPr>
        <w:t>.</w:t>
      </w:r>
      <w:r w:rsidR="0093092B" w:rsidRPr="00E44923">
        <w:rPr>
          <w:lang w:val="hr-HR"/>
        </w:rPr>
        <w:t xml:space="preserve"> Uredbe br. 1</w:t>
      </w:r>
      <w:r w:rsidRPr="00E44923">
        <w:rPr>
          <w:lang w:val="hr-HR"/>
        </w:rPr>
        <w:t xml:space="preserve">303/2013. </w:t>
      </w:r>
    </w:p>
    <w:p w14:paraId="31B47E63" w14:textId="169C1C32" w:rsidR="00B21D83" w:rsidRPr="00E44923" w:rsidRDefault="00B21D83" w:rsidP="00560A31">
      <w:pPr>
        <w:spacing w:before="0"/>
        <w:ind w:left="720"/>
        <w:rPr>
          <w:lang w:val="hr-HR"/>
        </w:rPr>
      </w:pPr>
      <w:r w:rsidRPr="00E44923">
        <w:rPr>
          <w:lang w:val="hr-HR"/>
        </w:rPr>
        <w:t xml:space="preserve">2.  </w:t>
      </w:r>
      <w:r w:rsidR="0093092B" w:rsidRPr="00E44923">
        <w:rPr>
          <w:lang w:val="hr-HR"/>
        </w:rPr>
        <w:t xml:space="preserve">Tijekom provedbe projekta provodi se </w:t>
      </w:r>
      <w:r w:rsidR="0093092B" w:rsidRPr="00E44923">
        <w:rPr>
          <w:b/>
          <w:lang w:val="hr-HR"/>
        </w:rPr>
        <w:t>Godišnja procjena rizi</w:t>
      </w:r>
      <w:r w:rsidR="00BD6043" w:rsidRPr="00E44923">
        <w:rPr>
          <w:b/>
          <w:lang w:val="hr-HR"/>
        </w:rPr>
        <w:t>čnosti</w:t>
      </w:r>
      <w:r w:rsidR="0093092B" w:rsidRPr="00E44923">
        <w:rPr>
          <w:b/>
          <w:lang w:val="hr-HR"/>
        </w:rPr>
        <w:t>.</w:t>
      </w:r>
      <w:r w:rsidR="0093092B" w:rsidRPr="00E44923">
        <w:rPr>
          <w:lang w:val="hr-HR"/>
        </w:rPr>
        <w:t xml:space="preserve"> </w:t>
      </w:r>
    </w:p>
    <w:p w14:paraId="7461683D" w14:textId="30B01324" w:rsidR="00B21D83" w:rsidRPr="00E44923" w:rsidRDefault="00B21D83" w:rsidP="00560A31">
      <w:pPr>
        <w:spacing w:before="0"/>
        <w:ind w:left="720"/>
        <w:rPr>
          <w:lang w:val="hr-HR"/>
        </w:rPr>
      </w:pPr>
      <w:r w:rsidRPr="00E44923">
        <w:rPr>
          <w:lang w:val="hr-HR"/>
        </w:rPr>
        <w:t xml:space="preserve">3.  </w:t>
      </w:r>
      <w:r w:rsidR="00B5749D" w:rsidRPr="00E44923">
        <w:rPr>
          <w:lang w:val="hr-HR"/>
        </w:rPr>
        <w:t xml:space="preserve">U roku mjesec dana </w:t>
      </w:r>
      <w:r w:rsidR="002B5839" w:rsidRPr="00E44923">
        <w:rPr>
          <w:lang w:val="hr-HR"/>
        </w:rPr>
        <w:t>od</w:t>
      </w:r>
      <w:r w:rsidR="00C0686A" w:rsidRPr="00E44923">
        <w:rPr>
          <w:lang w:val="hr-HR"/>
        </w:rPr>
        <w:t xml:space="preserve"> posljednje isplate k</w:t>
      </w:r>
      <w:r w:rsidR="00B5749D" w:rsidRPr="00E44923">
        <w:rPr>
          <w:lang w:val="hr-HR"/>
        </w:rPr>
        <w:t xml:space="preserve">orisniku provodi se konačna procjena rizičnosti projekta – </w:t>
      </w:r>
      <w:r w:rsidR="00B5749D" w:rsidRPr="00E44923">
        <w:rPr>
          <w:b/>
          <w:lang w:val="hr-HR"/>
        </w:rPr>
        <w:t>Procjena rizi</w:t>
      </w:r>
      <w:r w:rsidR="00BD6043" w:rsidRPr="00E44923">
        <w:rPr>
          <w:b/>
          <w:lang w:val="hr-HR"/>
        </w:rPr>
        <w:t>čnosti</w:t>
      </w:r>
      <w:r w:rsidR="00B5749D" w:rsidRPr="00E44923">
        <w:rPr>
          <w:b/>
          <w:lang w:val="hr-HR"/>
        </w:rPr>
        <w:t xml:space="preserve"> nakon provedbe.</w:t>
      </w:r>
      <w:r w:rsidR="00B5749D" w:rsidRPr="00E44923">
        <w:rPr>
          <w:lang w:val="hr-HR"/>
        </w:rPr>
        <w:t xml:space="preserve"> </w:t>
      </w:r>
      <w:r w:rsidRPr="00E44923">
        <w:rPr>
          <w:lang w:val="hr-HR"/>
        </w:rPr>
        <w:t xml:space="preserve"> </w:t>
      </w:r>
    </w:p>
    <w:p w14:paraId="00810E56" w14:textId="77777777" w:rsidR="00B44B99" w:rsidRPr="00E44923" w:rsidRDefault="00B44B99" w:rsidP="00560A31">
      <w:pPr>
        <w:spacing w:before="0"/>
        <w:rPr>
          <w:lang w:val="hr-HR"/>
        </w:rPr>
      </w:pPr>
    </w:p>
    <w:p w14:paraId="079642C8" w14:textId="1F1864D8" w:rsidR="00C30A61" w:rsidRPr="00E44923" w:rsidRDefault="00C30A61" w:rsidP="00560A31">
      <w:pPr>
        <w:spacing w:before="0"/>
        <w:rPr>
          <w:lang w:val="hr-HR"/>
        </w:rPr>
      </w:pPr>
      <w:r w:rsidRPr="00E44923">
        <w:rPr>
          <w:lang w:val="hr-HR"/>
        </w:rPr>
        <w:t xml:space="preserve">Za projekte koji se smatraju </w:t>
      </w:r>
      <w:r w:rsidRPr="00E44923">
        <w:rPr>
          <w:b/>
          <w:lang w:val="hr-HR"/>
        </w:rPr>
        <w:t>velikim projektima sukladno članku 100. Uredbe br. 1303/2013</w:t>
      </w:r>
      <w:r w:rsidRPr="00E44923">
        <w:rPr>
          <w:lang w:val="hr-HR"/>
        </w:rPr>
        <w:t xml:space="preserve"> se ne provodi analiza rizika već se isti odmah svrstavaju u </w:t>
      </w:r>
      <w:r w:rsidRPr="00E44923">
        <w:rPr>
          <w:b/>
          <w:lang w:val="hr-HR"/>
        </w:rPr>
        <w:t>visokorizične</w:t>
      </w:r>
      <w:r w:rsidRPr="00E44923">
        <w:rPr>
          <w:lang w:val="hr-HR"/>
        </w:rPr>
        <w:t xml:space="preserve"> projekte. </w:t>
      </w:r>
    </w:p>
    <w:p w14:paraId="39C1D00A" w14:textId="77777777" w:rsidR="00C30A61" w:rsidRPr="00E44923" w:rsidRDefault="00C30A61" w:rsidP="00560A31">
      <w:pPr>
        <w:spacing w:before="0"/>
        <w:rPr>
          <w:lang w:val="hr-HR"/>
        </w:rPr>
      </w:pPr>
    </w:p>
    <w:p w14:paraId="57E8E8EA" w14:textId="0A158325" w:rsidR="00B21D83" w:rsidRPr="00E44923" w:rsidRDefault="00A77FEA" w:rsidP="00560A31">
      <w:pPr>
        <w:spacing w:before="0"/>
        <w:rPr>
          <w:lang w:val="hr-HR"/>
        </w:rPr>
      </w:pPr>
      <w:r w:rsidRPr="00E44923">
        <w:rPr>
          <w:lang w:val="hr-HR"/>
        </w:rPr>
        <w:t xml:space="preserve">Uz redovitu procjenu razine rizika projekta, </w:t>
      </w:r>
      <w:r w:rsidR="00416435" w:rsidRPr="00E44923">
        <w:rPr>
          <w:lang w:val="hr-HR"/>
        </w:rPr>
        <w:t>PT2</w:t>
      </w:r>
      <w:r w:rsidRPr="00E44923">
        <w:rPr>
          <w:lang w:val="hr-HR"/>
        </w:rPr>
        <w:t xml:space="preserve"> može ponovno procijeniti razinu rizi</w:t>
      </w:r>
      <w:r w:rsidR="00A72462" w:rsidRPr="00E44923">
        <w:rPr>
          <w:lang w:val="hr-HR"/>
        </w:rPr>
        <w:t xml:space="preserve">čnosti </w:t>
      </w:r>
      <w:r w:rsidRPr="00E44923">
        <w:rPr>
          <w:lang w:val="hr-HR"/>
        </w:rPr>
        <w:t xml:space="preserve">projekta na </w:t>
      </w:r>
      <w:r w:rsidRPr="00E44923">
        <w:rPr>
          <w:b/>
          <w:lang w:val="hr-HR"/>
        </w:rPr>
        <w:t xml:space="preserve">ad hoc osnovi </w:t>
      </w:r>
      <w:r w:rsidR="00513FFE" w:rsidRPr="00E44923">
        <w:rPr>
          <w:lang w:val="hr-HR"/>
        </w:rPr>
        <w:t>ako</w:t>
      </w:r>
      <w:r w:rsidR="00513FFE" w:rsidRPr="00E44923">
        <w:rPr>
          <w:b/>
          <w:lang w:val="hr-HR"/>
        </w:rPr>
        <w:t xml:space="preserve"> </w:t>
      </w:r>
      <w:r w:rsidRPr="00E44923">
        <w:rPr>
          <w:lang w:val="hr-HR"/>
        </w:rPr>
        <w:t>su se promijenili uvjeti provedbe projekta i</w:t>
      </w:r>
      <w:r w:rsidR="00FD0181" w:rsidRPr="00E44923">
        <w:rPr>
          <w:lang w:val="hr-HR"/>
        </w:rPr>
        <w:t>li su nastupile</w:t>
      </w:r>
      <w:r w:rsidRPr="00E44923">
        <w:rPr>
          <w:lang w:val="hr-HR"/>
        </w:rPr>
        <w:t xml:space="preserve"> okolnosti koje dovode </w:t>
      </w:r>
      <w:r w:rsidR="00DB66E1" w:rsidRPr="00E44923">
        <w:rPr>
          <w:lang w:val="hr-HR"/>
        </w:rPr>
        <w:t xml:space="preserve">u pitanje </w:t>
      </w:r>
      <w:r w:rsidR="00FD0181" w:rsidRPr="00E44923">
        <w:rPr>
          <w:lang w:val="hr-HR"/>
        </w:rPr>
        <w:t>prvotnu procjenu</w:t>
      </w:r>
      <w:r w:rsidRPr="00E44923">
        <w:rPr>
          <w:lang w:val="hr-HR"/>
        </w:rPr>
        <w:t xml:space="preserve">. </w:t>
      </w:r>
      <w:r w:rsidR="00FD0181" w:rsidRPr="00E44923">
        <w:rPr>
          <w:lang w:val="hr-HR"/>
        </w:rPr>
        <w:t>Navedena procjena obavlja se tijekom provedbe projekta.</w:t>
      </w:r>
      <w:r w:rsidR="00B21D83" w:rsidRPr="00E44923">
        <w:rPr>
          <w:lang w:val="hr-HR"/>
        </w:rPr>
        <w:t xml:space="preserve"> </w:t>
      </w:r>
    </w:p>
    <w:p w14:paraId="51D23847" w14:textId="77777777" w:rsidR="00956ADC" w:rsidRPr="00E44923" w:rsidRDefault="00956ADC" w:rsidP="008909D9">
      <w:pPr>
        <w:spacing w:before="0"/>
        <w:ind w:left="0"/>
        <w:rPr>
          <w:b/>
          <w:lang w:val="hr-HR"/>
        </w:rPr>
      </w:pPr>
    </w:p>
    <w:p w14:paraId="6E62692D" w14:textId="23C2B93A" w:rsidR="00B21D83" w:rsidRPr="00E44923" w:rsidRDefault="00705E7F" w:rsidP="00560A31">
      <w:pPr>
        <w:spacing w:before="0"/>
        <w:rPr>
          <w:lang w:val="hr-HR"/>
        </w:rPr>
      </w:pPr>
      <w:r w:rsidRPr="00E44923">
        <w:rPr>
          <w:b/>
          <w:lang w:val="hr-HR"/>
        </w:rPr>
        <w:t xml:space="preserve">Faktori rizika su definirani </w:t>
      </w:r>
      <w:r w:rsidRPr="00E44923">
        <w:rPr>
          <w:lang w:val="hr-HR"/>
        </w:rPr>
        <w:t>ovisno o fazi provedbe projekta</w:t>
      </w:r>
      <w:r w:rsidR="00B21D83" w:rsidRPr="00E44923">
        <w:rPr>
          <w:lang w:val="hr-HR"/>
        </w:rPr>
        <w:t xml:space="preserve">: </w:t>
      </w:r>
    </w:p>
    <w:p w14:paraId="5069C880" w14:textId="77777777" w:rsidR="00B21D83" w:rsidRPr="00E44923" w:rsidRDefault="00B21D83" w:rsidP="00560A31">
      <w:pPr>
        <w:spacing w:before="0"/>
        <w:rPr>
          <w:lang w:val="hr-HR"/>
        </w:rPr>
      </w:pPr>
    </w:p>
    <w:p w14:paraId="053DB8BC" w14:textId="7654D64A" w:rsidR="00B21D83" w:rsidRPr="00E44923" w:rsidRDefault="000A04A8" w:rsidP="00560A31">
      <w:pPr>
        <w:pStyle w:val="ListParagraph"/>
        <w:numPr>
          <w:ilvl w:val="0"/>
          <w:numId w:val="26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u početnoj fazi projekta </w:t>
      </w:r>
      <w:r w:rsidR="00B21D83" w:rsidRPr="00E44923">
        <w:rPr>
          <w:lang w:val="hr-HR"/>
        </w:rPr>
        <w:t>(</w:t>
      </w:r>
      <w:r w:rsidRPr="00E44923">
        <w:rPr>
          <w:lang w:val="hr-HR"/>
        </w:rPr>
        <w:t xml:space="preserve">radi uspostave </w:t>
      </w:r>
      <w:r w:rsidR="00C30A61" w:rsidRPr="00E44923">
        <w:rPr>
          <w:lang w:val="hr-HR"/>
        </w:rPr>
        <w:t xml:space="preserve">inicijalne </w:t>
      </w:r>
      <w:r w:rsidRPr="00E44923">
        <w:rPr>
          <w:lang w:val="hr-HR"/>
        </w:rPr>
        <w:t>razine rizi</w:t>
      </w:r>
      <w:r w:rsidR="00A72462" w:rsidRPr="00E44923">
        <w:rPr>
          <w:lang w:val="hr-HR"/>
        </w:rPr>
        <w:t>čnosti</w:t>
      </w:r>
      <w:r w:rsidR="00B21D83" w:rsidRPr="00E44923">
        <w:rPr>
          <w:lang w:val="hr-HR"/>
        </w:rPr>
        <w:t xml:space="preserve">), </w:t>
      </w:r>
    </w:p>
    <w:p w14:paraId="2BE4BCCB" w14:textId="624B30D0" w:rsidR="00B21D83" w:rsidRPr="00E44923" w:rsidRDefault="000A04A8" w:rsidP="00560A31">
      <w:pPr>
        <w:pStyle w:val="ListParagraph"/>
        <w:numPr>
          <w:ilvl w:val="0"/>
          <w:numId w:val="26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u fazi provedbe projekta </w:t>
      </w:r>
      <w:r w:rsidR="00B21D83" w:rsidRPr="00E44923">
        <w:rPr>
          <w:lang w:val="hr-HR"/>
        </w:rPr>
        <w:t>(</w:t>
      </w:r>
      <w:r w:rsidRPr="00E44923">
        <w:rPr>
          <w:lang w:val="hr-HR"/>
        </w:rPr>
        <w:t>radi ponovne procjene razine rizi</w:t>
      </w:r>
      <w:r w:rsidR="00A72462" w:rsidRPr="00E44923">
        <w:rPr>
          <w:lang w:val="hr-HR"/>
        </w:rPr>
        <w:t>čnosti</w:t>
      </w:r>
      <w:r w:rsidRPr="00E44923">
        <w:rPr>
          <w:lang w:val="hr-HR"/>
        </w:rPr>
        <w:t xml:space="preserve"> tijekom provedbe projekta</w:t>
      </w:r>
      <w:r w:rsidR="00B21D83" w:rsidRPr="00E44923">
        <w:rPr>
          <w:lang w:val="hr-HR"/>
        </w:rPr>
        <w:t xml:space="preserve">), </w:t>
      </w:r>
      <w:r w:rsidRPr="00E44923">
        <w:rPr>
          <w:lang w:val="hr-HR"/>
        </w:rPr>
        <w:t>i</w:t>
      </w:r>
    </w:p>
    <w:p w14:paraId="7F3DBC01" w14:textId="064FB494" w:rsidR="00B21D83" w:rsidRPr="00E44923" w:rsidRDefault="00C30A61" w:rsidP="00D33EE4">
      <w:pPr>
        <w:pStyle w:val="ListParagraph"/>
        <w:numPr>
          <w:ilvl w:val="0"/>
          <w:numId w:val="26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 </w:t>
      </w:r>
      <w:r w:rsidR="000A04A8" w:rsidRPr="00E44923">
        <w:rPr>
          <w:lang w:val="hr-HR"/>
        </w:rPr>
        <w:t xml:space="preserve">nakon završetka provedbe projekta </w:t>
      </w:r>
      <w:r w:rsidR="00B21D83" w:rsidRPr="00E44923">
        <w:rPr>
          <w:lang w:val="hr-HR"/>
        </w:rPr>
        <w:t>(</w:t>
      </w:r>
      <w:r w:rsidR="000A04A8" w:rsidRPr="00E44923">
        <w:rPr>
          <w:lang w:val="hr-HR"/>
        </w:rPr>
        <w:t>radi procjene rizi</w:t>
      </w:r>
      <w:r w:rsidR="00A72462" w:rsidRPr="00E44923">
        <w:rPr>
          <w:lang w:val="hr-HR"/>
        </w:rPr>
        <w:t xml:space="preserve">čnosti </w:t>
      </w:r>
      <w:r w:rsidR="000A04A8" w:rsidRPr="00E44923">
        <w:rPr>
          <w:lang w:val="hr-HR"/>
        </w:rPr>
        <w:t xml:space="preserve">projekta nakon </w:t>
      </w:r>
      <w:r w:rsidR="009145B6" w:rsidRPr="00E44923">
        <w:rPr>
          <w:lang w:val="hr-HR"/>
        </w:rPr>
        <w:t>završnog</w:t>
      </w:r>
      <w:r w:rsidR="000A04A8" w:rsidRPr="00E44923">
        <w:rPr>
          <w:lang w:val="hr-HR"/>
        </w:rPr>
        <w:t xml:space="preserve"> </w:t>
      </w:r>
      <w:r w:rsidR="009145B6" w:rsidRPr="00E44923">
        <w:rPr>
          <w:lang w:val="hr-HR"/>
        </w:rPr>
        <w:t>plaćanja</w:t>
      </w:r>
      <w:r w:rsidRPr="00E44923">
        <w:rPr>
          <w:lang w:val="hr-HR"/>
        </w:rPr>
        <w:t>)</w:t>
      </w:r>
      <w:r w:rsidR="009145B6" w:rsidRPr="00E44923">
        <w:rPr>
          <w:lang w:val="hr-HR"/>
        </w:rPr>
        <w:t>.</w:t>
      </w:r>
    </w:p>
    <w:p w14:paraId="47F234ED" w14:textId="77777777" w:rsidR="009145B6" w:rsidRPr="00E44923" w:rsidRDefault="009145B6" w:rsidP="009145B6">
      <w:pPr>
        <w:pStyle w:val="ListParagraph"/>
        <w:spacing w:before="0"/>
        <w:ind w:left="644"/>
        <w:contextualSpacing/>
        <w:rPr>
          <w:lang w:val="hr-HR"/>
        </w:rPr>
      </w:pPr>
    </w:p>
    <w:p w14:paraId="23D76AAF" w14:textId="52267213" w:rsidR="00F34A75" w:rsidRPr="00E44923" w:rsidRDefault="00416435" w:rsidP="00FD0181">
      <w:pPr>
        <w:spacing w:before="0"/>
        <w:rPr>
          <w:lang w:val="hr-HR"/>
        </w:rPr>
      </w:pPr>
      <w:r w:rsidRPr="00E44923">
        <w:rPr>
          <w:lang w:val="hr-HR"/>
        </w:rPr>
        <w:t>PT2</w:t>
      </w:r>
      <w:r w:rsidR="00A72462" w:rsidRPr="00E44923">
        <w:rPr>
          <w:lang w:val="hr-HR"/>
        </w:rPr>
        <w:t xml:space="preserve"> </w:t>
      </w:r>
      <w:r w:rsidR="00FD0181" w:rsidRPr="00E44923">
        <w:rPr>
          <w:lang w:val="hr-HR"/>
        </w:rPr>
        <w:t>utvrđuje</w:t>
      </w:r>
      <w:r w:rsidR="00560A31" w:rsidRPr="00E44923">
        <w:rPr>
          <w:lang w:val="hr-HR"/>
        </w:rPr>
        <w:t xml:space="preserve"> razinu rizi</w:t>
      </w:r>
      <w:r w:rsidR="00A72462" w:rsidRPr="00E44923">
        <w:rPr>
          <w:lang w:val="hr-HR"/>
        </w:rPr>
        <w:t xml:space="preserve">čnosti </w:t>
      </w:r>
      <w:r w:rsidR="00560A31" w:rsidRPr="00E44923">
        <w:rPr>
          <w:lang w:val="hr-HR"/>
        </w:rPr>
        <w:t xml:space="preserve">projekta uzimajući u obzir </w:t>
      </w:r>
      <w:r w:rsidR="00C0686A" w:rsidRPr="00E44923">
        <w:rPr>
          <w:lang w:val="hr-HR"/>
        </w:rPr>
        <w:t>najmanje</w:t>
      </w:r>
      <w:r w:rsidR="00560A31" w:rsidRPr="00E44923">
        <w:rPr>
          <w:lang w:val="hr-HR"/>
        </w:rPr>
        <w:t xml:space="preserve"> sljedeće faktore rizika </w:t>
      </w:r>
      <w:r w:rsidR="00B21D83" w:rsidRPr="00E44923">
        <w:rPr>
          <w:lang w:val="hr-HR"/>
        </w:rPr>
        <w:t>(</w:t>
      </w:r>
      <w:r w:rsidR="00560A31" w:rsidRPr="00E44923">
        <w:rPr>
          <w:lang w:val="hr-HR"/>
        </w:rPr>
        <w:t xml:space="preserve">vidi tabelu </w:t>
      </w:r>
      <w:r w:rsidR="00B21D83" w:rsidRPr="00E44923">
        <w:rPr>
          <w:lang w:val="hr-HR"/>
        </w:rPr>
        <w:t xml:space="preserve">1). </w:t>
      </w:r>
    </w:p>
    <w:p w14:paraId="0B577AC7" w14:textId="4020D522" w:rsidR="000D105D" w:rsidRPr="00E44923" w:rsidRDefault="000D105D" w:rsidP="00FD0181">
      <w:pPr>
        <w:spacing w:before="0"/>
        <w:rPr>
          <w:lang w:val="hr-HR"/>
        </w:rPr>
      </w:pPr>
    </w:p>
    <w:p w14:paraId="280DD122" w14:textId="2569EA7A" w:rsidR="00C30A61" w:rsidRDefault="00C30A61" w:rsidP="00E44923">
      <w:pPr>
        <w:spacing w:before="0"/>
        <w:ind w:left="0"/>
        <w:rPr>
          <w:b/>
          <w:lang w:val="hr-HR"/>
        </w:rPr>
      </w:pPr>
    </w:p>
    <w:p w14:paraId="6B551C4A" w14:textId="3B2B3825" w:rsidR="00E9248F" w:rsidRDefault="00E9248F" w:rsidP="00E44923">
      <w:pPr>
        <w:spacing w:before="0"/>
        <w:ind w:left="0"/>
        <w:rPr>
          <w:b/>
          <w:lang w:val="hr-HR"/>
        </w:rPr>
      </w:pPr>
    </w:p>
    <w:p w14:paraId="0415C7A0" w14:textId="5297F2FB" w:rsidR="00E9248F" w:rsidRDefault="00E9248F" w:rsidP="00E44923">
      <w:pPr>
        <w:spacing w:before="0"/>
        <w:ind w:left="0"/>
        <w:rPr>
          <w:b/>
          <w:lang w:val="hr-HR"/>
        </w:rPr>
      </w:pPr>
    </w:p>
    <w:p w14:paraId="2A516751" w14:textId="0FF569FE" w:rsidR="00E9248F" w:rsidRDefault="00E9248F" w:rsidP="00E44923">
      <w:pPr>
        <w:spacing w:before="0"/>
        <w:ind w:left="0"/>
        <w:rPr>
          <w:b/>
          <w:lang w:val="hr-HR"/>
        </w:rPr>
      </w:pPr>
    </w:p>
    <w:p w14:paraId="54EFE766" w14:textId="128D21C1" w:rsidR="00E9248F" w:rsidRDefault="00E9248F" w:rsidP="00E44923">
      <w:pPr>
        <w:spacing w:before="0"/>
        <w:ind w:left="0"/>
        <w:rPr>
          <w:b/>
          <w:lang w:val="hr-HR"/>
        </w:rPr>
      </w:pPr>
    </w:p>
    <w:p w14:paraId="4B549997" w14:textId="77777777" w:rsidR="00E9248F" w:rsidRPr="00E44923" w:rsidRDefault="00E9248F" w:rsidP="00E44923">
      <w:pPr>
        <w:spacing w:before="0"/>
        <w:ind w:left="0"/>
        <w:rPr>
          <w:b/>
          <w:lang w:val="hr-HR"/>
        </w:rPr>
      </w:pPr>
    </w:p>
    <w:p w14:paraId="076B21DB" w14:textId="37C2A24E" w:rsidR="00B21D83" w:rsidRPr="00E44923" w:rsidRDefault="00B21D83" w:rsidP="00560A31">
      <w:pPr>
        <w:spacing w:before="0"/>
        <w:rPr>
          <w:b/>
          <w:lang w:val="hr-HR"/>
        </w:rPr>
      </w:pPr>
      <w:r w:rsidRPr="00E44923">
        <w:rPr>
          <w:b/>
          <w:lang w:val="hr-HR"/>
        </w:rPr>
        <w:lastRenderedPageBreak/>
        <w:t>Tab</w:t>
      </w:r>
      <w:r w:rsidR="00B44B99" w:rsidRPr="00E44923">
        <w:rPr>
          <w:b/>
          <w:lang w:val="hr-HR"/>
        </w:rPr>
        <w:t>e</w:t>
      </w:r>
      <w:r w:rsidRPr="00E44923">
        <w:rPr>
          <w:b/>
          <w:lang w:val="hr-HR"/>
        </w:rPr>
        <w:t>l</w:t>
      </w:r>
      <w:r w:rsidR="00B44B99" w:rsidRPr="00E44923">
        <w:rPr>
          <w:b/>
          <w:lang w:val="hr-HR"/>
        </w:rPr>
        <w:t>a</w:t>
      </w:r>
      <w:r w:rsidRPr="00E44923">
        <w:rPr>
          <w:b/>
          <w:lang w:val="hr-HR"/>
        </w:rPr>
        <w:t xml:space="preserve"> 1. Minim</w:t>
      </w:r>
      <w:r w:rsidR="00B44B99" w:rsidRPr="00E44923">
        <w:rPr>
          <w:b/>
          <w:lang w:val="hr-HR"/>
        </w:rPr>
        <w:t xml:space="preserve">alni </w:t>
      </w:r>
      <w:r w:rsidRPr="00E44923">
        <w:rPr>
          <w:b/>
          <w:lang w:val="hr-HR"/>
        </w:rPr>
        <w:t xml:space="preserve">set </w:t>
      </w:r>
      <w:r w:rsidR="00B44B99" w:rsidRPr="00E44923">
        <w:rPr>
          <w:b/>
          <w:lang w:val="hr-HR"/>
        </w:rPr>
        <w:t xml:space="preserve">faktora </w:t>
      </w:r>
      <w:r w:rsidRPr="00E44923">
        <w:rPr>
          <w:b/>
          <w:lang w:val="hr-HR"/>
        </w:rPr>
        <w:t>ri</w:t>
      </w:r>
      <w:r w:rsidR="00B44B99" w:rsidRPr="00E44923">
        <w:rPr>
          <w:b/>
          <w:lang w:val="hr-HR"/>
        </w:rPr>
        <w:t>zika za procjenu rizičnosti projekta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3"/>
        <w:gridCol w:w="1762"/>
        <w:gridCol w:w="1384"/>
        <w:gridCol w:w="1282"/>
        <w:gridCol w:w="1214"/>
        <w:gridCol w:w="1267"/>
      </w:tblGrid>
      <w:tr w:rsidR="00C30A61" w:rsidRPr="00E44923" w14:paraId="53C9DE21" w14:textId="77777777" w:rsidTr="00B413F2">
        <w:trPr>
          <w:trHeight w:val="630"/>
          <w:tblHeader/>
        </w:trPr>
        <w:tc>
          <w:tcPr>
            <w:tcW w:w="2153" w:type="dxa"/>
            <w:vMerge w:val="restart"/>
            <w:shd w:val="clear" w:color="auto" w:fill="BFBFBF" w:themeFill="background1" w:themeFillShade="BF"/>
            <w:hideMark/>
          </w:tcPr>
          <w:p w14:paraId="04690916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Faktor rizika</w:t>
            </w:r>
          </w:p>
        </w:tc>
        <w:tc>
          <w:tcPr>
            <w:tcW w:w="1762" w:type="dxa"/>
            <w:vMerge w:val="restart"/>
            <w:shd w:val="clear" w:color="auto" w:fill="BFBFBF" w:themeFill="background1" w:themeFillShade="BF"/>
            <w:hideMark/>
          </w:tcPr>
          <w:p w14:paraId="4C8E4EE2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 </w:t>
            </w:r>
          </w:p>
        </w:tc>
        <w:tc>
          <w:tcPr>
            <w:tcW w:w="1384" w:type="dxa"/>
            <w:vMerge w:val="restart"/>
            <w:shd w:val="clear" w:color="auto" w:fill="BFBFBF" w:themeFill="background1" w:themeFillShade="BF"/>
            <w:hideMark/>
          </w:tcPr>
          <w:p w14:paraId="0A750F4B" w14:textId="58BD46E1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Dodijeljeni bodovi</w:t>
            </w:r>
            <w:r w:rsidR="00AD6001" w:rsidRPr="00E44923">
              <w:rPr>
                <w:b/>
                <w:bCs/>
                <w:lang w:val="hr-HR"/>
              </w:rPr>
              <w:t xml:space="preserve"> u odnosu na razinu rizika</w:t>
            </w:r>
          </w:p>
        </w:tc>
        <w:tc>
          <w:tcPr>
            <w:tcW w:w="3763" w:type="dxa"/>
            <w:gridSpan w:val="3"/>
            <w:shd w:val="clear" w:color="auto" w:fill="BFBFBF" w:themeFill="background1" w:themeFillShade="BF"/>
            <w:hideMark/>
          </w:tcPr>
          <w:p w14:paraId="47D865E5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Faktor se primjenjuje (da/ne)</w:t>
            </w:r>
          </w:p>
        </w:tc>
      </w:tr>
      <w:tr w:rsidR="00C30A61" w:rsidRPr="00E44923" w14:paraId="00DCD86E" w14:textId="77777777" w:rsidTr="00B413F2">
        <w:trPr>
          <w:trHeight w:val="1483"/>
          <w:tblHeader/>
        </w:trPr>
        <w:tc>
          <w:tcPr>
            <w:tcW w:w="2153" w:type="dxa"/>
            <w:vMerge/>
            <w:shd w:val="clear" w:color="auto" w:fill="BFBFBF" w:themeFill="background1" w:themeFillShade="BF"/>
            <w:hideMark/>
          </w:tcPr>
          <w:p w14:paraId="025B6CF6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</w:p>
        </w:tc>
        <w:tc>
          <w:tcPr>
            <w:tcW w:w="1762" w:type="dxa"/>
            <w:vMerge/>
            <w:shd w:val="clear" w:color="auto" w:fill="BFBFBF" w:themeFill="background1" w:themeFillShade="BF"/>
            <w:hideMark/>
          </w:tcPr>
          <w:p w14:paraId="086FCC19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</w:p>
        </w:tc>
        <w:tc>
          <w:tcPr>
            <w:tcW w:w="1384" w:type="dxa"/>
            <w:vMerge/>
            <w:shd w:val="clear" w:color="auto" w:fill="BFBFBF" w:themeFill="background1" w:themeFillShade="BF"/>
            <w:hideMark/>
          </w:tcPr>
          <w:p w14:paraId="43F58D70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</w:p>
        </w:tc>
        <w:tc>
          <w:tcPr>
            <w:tcW w:w="1282" w:type="dxa"/>
            <w:shd w:val="clear" w:color="auto" w:fill="BFBFBF" w:themeFill="background1" w:themeFillShade="BF"/>
            <w:hideMark/>
          </w:tcPr>
          <w:p w14:paraId="3E3FCE8E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Početna procjena rizičnosti projekta</w:t>
            </w:r>
          </w:p>
        </w:tc>
        <w:tc>
          <w:tcPr>
            <w:tcW w:w="1214" w:type="dxa"/>
            <w:shd w:val="clear" w:color="auto" w:fill="BFBFBF" w:themeFill="background1" w:themeFillShade="BF"/>
            <w:hideMark/>
          </w:tcPr>
          <w:p w14:paraId="30E3F614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Godišnja procjena rizičnosti tijekom provedbe</w:t>
            </w:r>
          </w:p>
        </w:tc>
        <w:tc>
          <w:tcPr>
            <w:tcW w:w="1267" w:type="dxa"/>
            <w:shd w:val="clear" w:color="auto" w:fill="BFBFBF" w:themeFill="background1" w:themeFillShade="BF"/>
            <w:hideMark/>
          </w:tcPr>
          <w:p w14:paraId="34642499" w14:textId="77777777" w:rsidR="00C30A61" w:rsidRPr="00E44923" w:rsidRDefault="00C30A61" w:rsidP="00C30A61">
            <w:pPr>
              <w:spacing w:before="0"/>
              <w:rPr>
                <w:b/>
                <w:bCs/>
                <w:lang w:val="hr-HR"/>
              </w:rPr>
            </w:pPr>
            <w:r w:rsidRPr="00E44923">
              <w:rPr>
                <w:b/>
                <w:bCs/>
                <w:lang w:val="hr-HR"/>
              </w:rPr>
              <w:t>Procjena rizičnosti nakon provedbe projekta</w:t>
            </w:r>
          </w:p>
        </w:tc>
      </w:tr>
      <w:tr w:rsidR="00BF5E48" w:rsidRPr="00E44923" w14:paraId="0BE5D46E" w14:textId="77777777" w:rsidTr="00BF5E48">
        <w:trPr>
          <w:trHeight w:val="540"/>
        </w:trPr>
        <w:tc>
          <w:tcPr>
            <w:tcW w:w="2153" w:type="dxa"/>
            <w:vMerge w:val="restart"/>
            <w:hideMark/>
          </w:tcPr>
          <w:p w14:paraId="3367951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Pravni status Korisnika </w:t>
            </w:r>
          </w:p>
        </w:tc>
        <w:tc>
          <w:tcPr>
            <w:tcW w:w="1762" w:type="dxa"/>
            <w:hideMark/>
          </w:tcPr>
          <w:p w14:paraId="27CF050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Državna ili javna tijela</w:t>
            </w:r>
          </w:p>
        </w:tc>
        <w:tc>
          <w:tcPr>
            <w:tcW w:w="1384" w:type="dxa"/>
            <w:hideMark/>
          </w:tcPr>
          <w:p w14:paraId="4C01681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</w:p>
        </w:tc>
        <w:tc>
          <w:tcPr>
            <w:tcW w:w="1282" w:type="dxa"/>
            <w:vMerge w:val="restart"/>
            <w:hideMark/>
          </w:tcPr>
          <w:p w14:paraId="6D037B4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399C71F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41CDB6A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3060FBCF" w14:textId="77777777" w:rsidTr="00BF5E48">
        <w:trPr>
          <w:trHeight w:val="330"/>
        </w:trPr>
        <w:tc>
          <w:tcPr>
            <w:tcW w:w="2153" w:type="dxa"/>
            <w:vMerge/>
            <w:hideMark/>
          </w:tcPr>
          <w:p w14:paraId="0B1341A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7CCB48C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Poduzetnik</w:t>
            </w:r>
          </w:p>
        </w:tc>
        <w:tc>
          <w:tcPr>
            <w:tcW w:w="1384" w:type="dxa"/>
            <w:hideMark/>
          </w:tcPr>
          <w:p w14:paraId="1DB4370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25B0436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7616151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4834E5C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3A5132FD" w14:textId="77777777" w:rsidTr="00BF5E48">
        <w:trPr>
          <w:trHeight w:val="330"/>
        </w:trPr>
        <w:tc>
          <w:tcPr>
            <w:tcW w:w="2153" w:type="dxa"/>
            <w:vMerge/>
            <w:hideMark/>
          </w:tcPr>
          <w:p w14:paraId="13A9043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5613D83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Nevladina organizacija</w:t>
            </w:r>
          </w:p>
        </w:tc>
        <w:tc>
          <w:tcPr>
            <w:tcW w:w="1384" w:type="dxa"/>
            <w:hideMark/>
          </w:tcPr>
          <w:p w14:paraId="525BC50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25A3473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03F0958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3FA50F8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3A2EBF12" w14:textId="77777777" w:rsidTr="00BF5E48">
        <w:trPr>
          <w:trHeight w:val="645"/>
        </w:trPr>
        <w:tc>
          <w:tcPr>
            <w:tcW w:w="2153" w:type="dxa"/>
            <w:vMerge w:val="restart"/>
            <w:hideMark/>
          </w:tcPr>
          <w:p w14:paraId="581DED4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Partneri</w:t>
            </w:r>
          </w:p>
        </w:tc>
        <w:tc>
          <w:tcPr>
            <w:tcW w:w="1762" w:type="dxa"/>
            <w:hideMark/>
          </w:tcPr>
          <w:p w14:paraId="0F25713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 postoji projektni Partner(i)</w:t>
            </w:r>
          </w:p>
        </w:tc>
        <w:tc>
          <w:tcPr>
            <w:tcW w:w="1384" w:type="dxa"/>
            <w:hideMark/>
          </w:tcPr>
          <w:p w14:paraId="2A747D4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51F6FF2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0BA69C3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11C47E5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289A5A4B" w14:textId="77777777" w:rsidTr="00BF5E48">
        <w:trPr>
          <w:trHeight w:val="645"/>
        </w:trPr>
        <w:tc>
          <w:tcPr>
            <w:tcW w:w="2153" w:type="dxa"/>
            <w:vMerge/>
            <w:hideMark/>
          </w:tcPr>
          <w:p w14:paraId="2E64E09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6F09E76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Postoji projektni Partner(i)</w:t>
            </w:r>
          </w:p>
        </w:tc>
        <w:tc>
          <w:tcPr>
            <w:tcW w:w="1384" w:type="dxa"/>
            <w:hideMark/>
          </w:tcPr>
          <w:p w14:paraId="69FEA09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6862F88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37E6083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0ED5513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7644AE40" w14:textId="77777777" w:rsidTr="00BF5E48">
        <w:trPr>
          <w:trHeight w:val="960"/>
        </w:trPr>
        <w:tc>
          <w:tcPr>
            <w:tcW w:w="2153" w:type="dxa"/>
            <w:vMerge w:val="restart"/>
            <w:hideMark/>
          </w:tcPr>
          <w:p w14:paraId="0C8228C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Projekt uključuje nabavu radova, čija je financijska vrijednost u odnosu na vrijednost ukupno prihvatljivih troškova projekta</w:t>
            </w:r>
          </w:p>
          <w:p w14:paraId="4486AD83" w14:textId="512EBA9D" w:rsidR="0044387C" w:rsidRPr="00E44923" w:rsidRDefault="0044387C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(više ugovora o radovima u okviru projekta gleda se kumulativno)</w:t>
            </w:r>
          </w:p>
        </w:tc>
        <w:tc>
          <w:tcPr>
            <w:tcW w:w="1762" w:type="dxa"/>
            <w:hideMark/>
          </w:tcPr>
          <w:p w14:paraId="7DBB524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Do 15% od ukupno prihvatljivih troškova projekta</w:t>
            </w:r>
          </w:p>
        </w:tc>
        <w:tc>
          <w:tcPr>
            <w:tcW w:w="1384" w:type="dxa"/>
            <w:hideMark/>
          </w:tcPr>
          <w:p w14:paraId="164F756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</w:p>
        </w:tc>
        <w:tc>
          <w:tcPr>
            <w:tcW w:w="1282" w:type="dxa"/>
            <w:vMerge w:val="restart"/>
            <w:hideMark/>
          </w:tcPr>
          <w:p w14:paraId="01570E7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03D39BB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680A82B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</w:tr>
      <w:tr w:rsidR="00C30A61" w:rsidRPr="00E44923" w14:paraId="5B3E905C" w14:textId="77777777" w:rsidTr="00BF5E48">
        <w:trPr>
          <w:trHeight w:val="960"/>
        </w:trPr>
        <w:tc>
          <w:tcPr>
            <w:tcW w:w="2153" w:type="dxa"/>
            <w:vMerge/>
            <w:hideMark/>
          </w:tcPr>
          <w:p w14:paraId="43DDC80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2E50B63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15% - do 30% od ukupno prihvatljivih troškova projekta</w:t>
            </w:r>
          </w:p>
        </w:tc>
        <w:tc>
          <w:tcPr>
            <w:tcW w:w="1384" w:type="dxa"/>
            <w:hideMark/>
          </w:tcPr>
          <w:p w14:paraId="696A98B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3970BA2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34A2740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574A5F80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62ABB664" w14:textId="77777777" w:rsidTr="00BF5E48">
        <w:trPr>
          <w:trHeight w:val="960"/>
        </w:trPr>
        <w:tc>
          <w:tcPr>
            <w:tcW w:w="2153" w:type="dxa"/>
            <w:vMerge/>
            <w:hideMark/>
          </w:tcPr>
          <w:p w14:paraId="0A34F19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2C25E5D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30 - do 50% od ukupno prihvatljivih troškova projekta</w:t>
            </w:r>
          </w:p>
        </w:tc>
        <w:tc>
          <w:tcPr>
            <w:tcW w:w="1384" w:type="dxa"/>
            <w:hideMark/>
          </w:tcPr>
          <w:p w14:paraId="44EFE9E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42EC6F7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037C5B4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54C69E1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7B11E491" w14:textId="77777777" w:rsidTr="00BF5E48">
        <w:trPr>
          <w:trHeight w:val="960"/>
        </w:trPr>
        <w:tc>
          <w:tcPr>
            <w:tcW w:w="2153" w:type="dxa"/>
            <w:vMerge/>
            <w:hideMark/>
          </w:tcPr>
          <w:p w14:paraId="7080F29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1DE78A0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50% i više od ukupno prihvatljivih troškova projekta</w:t>
            </w:r>
          </w:p>
        </w:tc>
        <w:tc>
          <w:tcPr>
            <w:tcW w:w="1384" w:type="dxa"/>
            <w:hideMark/>
          </w:tcPr>
          <w:p w14:paraId="56A6520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4</w:t>
            </w:r>
          </w:p>
        </w:tc>
        <w:tc>
          <w:tcPr>
            <w:tcW w:w="1282" w:type="dxa"/>
            <w:vMerge/>
            <w:hideMark/>
          </w:tcPr>
          <w:p w14:paraId="45A4E40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61CDB1F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2B3067F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6EDD6C27" w14:textId="77777777" w:rsidTr="00BF5E48">
        <w:trPr>
          <w:trHeight w:val="960"/>
        </w:trPr>
        <w:tc>
          <w:tcPr>
            <w:tcW w:w="2153" w:type="dxa"/>
            <w:vMerge w:val="restart"/>
            <w:hideMark/>
          </w:tcPr>
          <w:p w14:paraId="08B9FA7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Projekt uključuje nabavu robe/opreme, čija je financijska vrijednost u odnosu </w:t>
            </w:r>
            <w:r w:rsidRPr="00E44923">
              <w:rPr>
                <w:lang w:val="hr-HR"/>
              </w:rPr>
              <w:lastRenderedPageBreak/>
              <w:t>na vrijednost ukupno prihvatljivih troškova projekta</w:t>
            </w:r>
          </w:p>
          <w:p w14:paraId="787A8D74" w14:textId="605652E2" w:rsidR="0044387C" w:rsidRPr="00E44923" w:rsidRDefault="0044387C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(više ugovora o nabavi roba u okviru projekta gleda se kumulativno)</w:t>
            </w:r>
          </w:p>
        </w:tc>
        <w:tc>
          <w:tcPr>
            <w:tcW w:w="1762" w:type="dxa"/>
            <w:hideMark/>
          </w:tcPr>
          <w:p w14:paraId="109181D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lastRenderedPageBreak/>
              <w:t>Do 15% od ukupno prihvatljivih troškova projekta</w:t>
            </w:r>
          </w:p>
        </w:tc>
        <w:tc>
          <w:tcPr>
            <w:tcW w:w="1384" w:type="dxa"/>
            <w:hideMark/>
          </w:tcPr>
          <w:p w14:paraId="392FFCB0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</w:p>
        </w:tc>
        <w:tc>
          <w:tcPr>
            <w:tcW w:w="1282" w:type="dxa"/>
            <w:vMerge w:val="restart"/>
            <w:hideMark/>
          </w:tcPr>
          <w:p w14:paraId="00FDBA0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20D5E94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4962D04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</w:tr>
      <w:tr w:rsidR="00C30A61" w:rsidRPr="00E44923" w14:paraId="5C5CCE14" w14:textId="77777777" w:rsidTr="00BF5E48">
        <w:trPr>
          <w:trHeight w:val="960"/>
        </w:trPr>
        <w:tc>
          <w:tcPr>
            <w:tcW w:w="2153" w:type="dxa"/>
            <w:vMerge/>
            <w:hideMark/>
          </w:tcPr>
          <w:p w14:paraId="3F8AFE6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524F183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15% - do 30% od ukupno prihvatljivih troškova projekta</w:t>
            </w:r>
          </w:p>
        </w:tc>
        <w:tc>
          <w:tcPr>
            <w:tcW w:w="1384" w:type="dxa"/>
            <w:hideMark/>
          </w:tcPr>
          <w:p w14:paraId="3F613C3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1050E1D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09F44A8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7BDCB01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62B7E3D6" w14:textId="77777777" w:rsidTr="00BF5E48">
        <w:trPr>
          <w:trHeight w:val="960"/>
        </w:trPr>
        <w:tc>
          <w:tcPr>
            <w:tcW w:w="2153" w:type="dxa"/>
            <w:vMerge/>
            <w:hideMark/>
          </w:tcPr>
          <w:p w14:paraId="6F5AC030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078BD2F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30 - do 50% od ukupno prihvatljivih troškova projekta</w:t>
            </w:r>
          </w:p>
        </w:tc>
        <w:tc>
          <w:tcPr>
            <w:tcW w:w="1384" w:type="dxa"/>
            <w:hideMark/>
          </w:tcPr>
          <w:p w14:paraId="1A2A474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62FDED1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427DC4A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6DEE1C1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6903A3C9" w14:textId="77777777" w:rsidTr="00BF5E48">
        <w:trPr>
          <w:trHeight w:val="960"/>
        </w:trPr>
        <w:tc>
          <w:tcPr>
            <w:tcW w:w="2153" w:type="dxa"/>
            <w:vMerge/>
            <w:hideMark/>
          </w:tcPr>
          <w:p w14:paraId="43AC67F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481DB67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50% i više od ukupno prihvatljivih troškova projekta</w:t>
            </w:r>
          </w:p>
        </w:tc>
        <w:tc>
          <w:tcPr>
            <w:tcW w:w="1384" w:type="dxa"/>
            <w:hideMark/>
          </w:tcPr>
          <w:p w14:paraId="36EEBCF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4</w:t>
            </w:r>
          </w:p>
        </w:tc>
        <w:tc>
          <w:tcPr>
            <w:tcW w:w="1282" w:type="dxa"/>
            <w:vMerge/>
            <w:hideMark/>
          </w:tcPr>
          <w:p w14:paraId="7FD51F1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2E174FE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4F61764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204D537C" w14:textId="77777777" w:rsidTr="00CD08F7">
        <w:trPr>
          <w:trHeight w:val="1258"/>
        </w:trPr>
        <w:tc>
          <w:tcPr>
            <w:tcW w:w="2153" w:type="dxa"/>
            <w:vMerge w:val="restart"/>
          </w:tcPr>
          <w:p w14:paraId="70670F01" w14:textId="4D5C64D8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Projekt se odvija na 3 ili više lokacija. Pojam lokacije podrazumijeva lokacije korisnika i partnera, odnosno sve lokacije na kojima se odvijaju projektne aktivnosti</w:t>
            </w:r>
          </w:p>
        </w:tc>
        <w:tc>
          <w:tcPr>
            <w:tcW w:w="1762" w:type="dxa"/>
          </w:tcPr>
          <w:p w14:paraId="3CB79991" w14:textId="6BDC276E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384" w:type="dxa"/>
          </w:tcPr>
          <w:p w14:paraId="6A8B216C" w14:textId="24AEE0D6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</w:tcPr>
          <w:p w14:paraId="768E0C97" w14:textId="42224EB1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</w:tcPr>
          <w:p w14:paraId="4285ED53" w14:textId="3931BF95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</w:tcPr>
          <w:p w14:paraId="26EE555B" w14:textId="448F8474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BF5E48" w:rsidRPr="00E44923" w14:paraId="7B70FDEF" w14:textId="77777777" w:rsidTr="00BF5E48">
        <w:trPr>
          <w:trHeight w:val="330"/>
        </w:trPr>
        <w:tc>
          <w:tcPr>
            <w:tcW w:w="2153" w:type="dxa"/>
            <w:vMerge/>
          </w:tcPr>
          <w:p w14:paraId="460CA0E9" w14:textId="77777777" w:rsidR="00BF5E48" w:rsidRPr="00E44923" w:rsidRDefault="00BF5E48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</w:tcPr>
          <w:p w14:paraId="6D85DCB0" w14:textId="77E198C6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384" w:type="dxa"/>
          </w:tcPr>
          <w:p w14:paraId="4370482B" w14:textId="63F443C9" w:rsidR="00BF5E48" w:rsidRPr="00E44923" w:rsidRDefault="00BF5E48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</w:tcPr>
          <w:p w14:paraId="458D79C1" w14:textId="77777777" w:rsidR="00BF5E48" w:rsidRPr="00E44923" w:rsidRDefault="00BF5E48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</w:tcPr>
          <w:p w14:paraId="5F84BCAD" w14:textId="77777777" w:rsidR="00BF5E48" w:rsidRPr="00E44923" w:rsidRDefault="00BF5E48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</w:tcPr>
          <w:p w14:paraId="02471158" w14:textId="77777777" w:rsidR="00BF5E48" w:rsidRPr="00E44923" w:rsidRDefault="00BF5E48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1F752CA5" w14:textId="77777777" w:rsidTr="00BF5E48">
        <w:trPr>
          <w:trHeight w:val="330"/>
        </w:trPr>
        <w:tc>
          <w:tcPr>
            <w:tcW w:w="2153" w:type="dxa"/>
            <w:vMerge w:val="restart"/>
            <w:hideMark/>
          </w:tcPr>
          <w:p w14:paraId="4BAF4AF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Razdoblje provedbe projekta</w:t>
            </w:r>
          </w:p>
        </w:tc>
        <w:tc>
          <w:tcPr>
            <w:tcW w:w="1762" w:type="dxa"/>
            <w:hideMark/>
          </w:tcPr>
          <w:p w14:paraId="1EDC6DC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1 - 12 mjeseci</w:t>
            </w:r>
          </w:p>
        </w:tc>
        <w:tc>
          <w:tcPr>
            <w:tcW w:w="1384" w:type="dxa"/>
            <w:hideMark/>
          </w:tcPr>
          <w:p w14:paraId="096C490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</w:p>
        </w:tc>
        <w:tc>
          <w:tcPr>
            <w:tcW w:w="1282" w:type="dxa"/>
            <w:vMerge w:val="restart"/>
            <w:hideMark/>
          </w:tcPr>
          <w:p w14:paraId="1A3A744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4F8C70E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59D36FC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</w:tr>
      <w:tr w:rsidR="00C30A61" w:rsidRPr="00E44923" w14:paraId="22369322" w14:textId="77777777" w:rsidTr="00BF5E48">
        <w:trPr>
          <w:trHeight w:val="330"/>
        </w:trPr>
        <w:tc>
          <w:tcPr>
            <w:tcW w:w="2153" w:type="dxa"/>
            <w:vMerge/>
            <w:hideMark/>
          </w:tcPr>
          <w:p w14:paraId="6D3E849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1272709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13-24 mjeseci</w:t>
            </w:r>
          </w:p>
        </w:tc>
        <w:tc>
          <w:tcPr>
            <w:tcW w:w="1384" w:type="dxa"/>
            <w:hideMark/>
          </w:tcPr>
          <w:p w14:paraId="4B56774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4F2A7C2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2BEA38E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5395504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4455D7BB" w14:textId="77777777" w:rsidTr="00BF5E48">
        <w:trPr>
          <w:trHeight w:val="330"/>
        </w:trPr>
        <w:tc>
          <w:tcPr>
            <w:tcW w:w="2153" w:type="dxa"/>
            <w:vMerge/>
            <w:hideMark/>
          </w:tcPr>
          <w:p w14:paraId="22B74E2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6D3EF17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25 i više mjeseci</w:t>
            </w:r>
          </w:p>
        </w:tc>
        <w:tc>
          <w:tcPr>
            <w:tcW w:w="1384" w:type="dxa"/>
            <w:hideMark/>
          </w:tcPr>
          <w:p w14:paraId="22C2F36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2C0133E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4530EB3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00BBEBE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043586B6" w14:textId="77777777" w:rsidTr="00BF5E48">
        <w:trPr>
          <w:trHeight w:val="1365"/>
        </w:trPr>
        <w:tc>
          <w:tcPr>
            <w:tcW w:w="2153" w:type="dxa"/>
            <w:vMerge w:val="restart"/>
            <w:hideMark/>
          </w:tcPr>
          <w:p w14:paraId="2C420078" w14:textId="6AEFAAED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Povezanost projekta s drugim projektima tijekom provedbe - (Projekt </w:t>
            </w:r>
            <w:r w:rsidRPr="00E44923">
              <w:rPr>
                <w:lang w:val="hr-HR"/>
              </w:rPr>
              <w:lastRenderedPageBreak/>
              <w:t xml:space="preserve">utječe na ishode ostalih projekata, odnosno nadopunjuje rezultate ostalih projekata ili aktivnosti koje su u tijeku; Postoji opasnost od dvostrukog financiranja; neki drugi značajan rizik koji bi utjecao na drugi projekt </w:t>
            </w:r>
            <w:r w:rsidR="00E44923" w:rsidRPr="00E44923">
              <w:rPr>
                <w:lang w:val="hr-HR"/>
              </w:rPr>
              <w:t xml:space="preserve">- </w:t>
            </w:r>
            <w:r w:rsidR="00E44923" w:rsidRPr="00E44923">
              <w:rPr>
                <w:i/>
                <w:lang w:val="hr-HR"/>
              </w:rPr>
              <w:t>upisati</w:t>
            </w:r>
            <w:r w:rsidRPr="00E44923">
              <w:rPr>
                <w:lang w:val="hr-HR"/>
              </w:rPr>
              <w:t>)</w:t>
            </w:r>
          </w:p>
        </w:tc>
        <w:tc>
          <w:tcPr>
            <w:tcW w:w="1762" w:type="dxa"/>
            <w:hideMark/>
          </w:tcPr>
          <w:p w14:paraId="7B18D13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lastRenderedPageBreak/>
              <w:t>Ne</w:t>
            </w:r>
          </w:p>
        </w:tc>
        <w:tc>
          <w:tcPr>
            <w:tcW w:w="1384" w:type="dxa"/>
            <w:hideMark/>
          </w:tcPr>
          <w:p w14:paraId="021FDC3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1B50EA4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0A39532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54380570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23263CCC" w14:textId="77777777" w:rsidTr="00BF5E48">
        <w:trPr>
          <w:trHeight w:val="1845"/>
        </w:trPr>
        <w:tc>
          <w:tcPr>
            <w:tcW w:w="2153" w:type="dxa"/>
            <w:vMerge/>
            <w:hideMark/>
          </w:tcPr>
          <w:p w14:paraId="147DB29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3539D0E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384" w:type="dxa"/>
            <w:hideMark/>
          </w:tcPr>
          <w:p w14:paraId="060F292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0EAA4F6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36B3F50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30CC27F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04AE0EFE" w14:textId="77777777" w:rsidTr="00BF5E48">
        <w:trPr>
          <w:trHeight w:val="330"/>
        </w:trPr>
        <w:tc>
          <w:tcPr>
            <w:tcW w:w="2153" w:type="dxa"/>
            <w:vMerge w:val="restart"/>
            <w:hideMark/>
          </w:tcPr>
          <w:p w14:paraId="0CF7209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Generiranje prihoda u projektu</w:t>
            </w:r>
          </w:p>
        </w:tc>
        <w:tc>
          <w:tcPr>
            <w:tcW w:w="1762" w:type="dxa"/>
            <w:hideMark/>
          </w:tcPr>
          <w:p w14:paraId="7FA95F4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384" w:type="dxa"/>
            <w:hideMark/>
          </w:tcPr>
          <w:p w14:paraId="1FB9D3C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36FE6C2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14" w:type="dxa"/>
            <w:vMerge w:val="restart"/>
            <w:hideMark/>
          </w:tcPr>
          <w:p w14:paraId="598825D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5720140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230AC9D6" w14:textId="77777777" w:rsidTr="00BF5E48">
        <w:trPr>
          <w:trHeight w:val="315"/>
        </w:trPr>
        <w:tc>
          <w:tcPr>
            <w:tcW w:w="2153" w:type="dxa"/>
            <w:vMerge/>
            <w:hideMark/>
          </w:tcPr>
          <w:p w14:paraId="2481D8B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24632E3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384" w:type="dxa"/>
            <w:hideMark/>
          </w:tcPr>
          <w:p w14:paraId="0BF17A2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49E8198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68278D4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5063E310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30FF55A9" w14:textId="77777777" w:rsidTr="00BF5E48">
        <w:trPr>
          <w:trHeight w:val="1275"/>
        </w:trPr>
        <w:tc>
          <w:tcPr>
            <w:tcW w:w="2153" w:type="dxa"/>
            <w:vMerge w:val="restart"/>
            <w:hideMark/>
          </w:tcPr>
          <w:p w14:paraId="6FEDD53B" w14:textId="08245F7E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Izmjene ugovora</w:t>
            </w:r>
            <w:r w:rsidR="00E44923" w:rsidRPr="00E44923">
              <w:rPr>
                <w:lang w:val="hr-HR"/>
              </w:rPr>
              <w:t xml:space="preserve"> o dodjeli bespovratnih sredstava</w:t>
            </w:r>
            <w:r w:rsidRPr="00E44923">
              <w:rPr>
                <w:lang w:val="hr-HR"/>
              </w:rPr>
              <w:t xml:space="preserve"> tijekom provedbe - rizici izmjene opsega projekta ili postizanja zadanih pokazatelja</w:t>
            </w:r>
          </w:p>
        </w:tc>
        <w:tc>
          <w:tcPr>
            <w:tcW w:w="1762" w:type="dxa"/>
            <w:hideMark/>
          </w:tcPr>
          <w:p w14:paraId="121A2502" w14:textId="1F60419E" w:rsidR="00C30A61" w:rsidRPr="00E44923" w:rsidRDefault="00A34A70" w:rsidP="00E44923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Nisu evidentirane izmjene ugovora koje </w:t>
            </w:r>
            <w:r w:rsidR="00E44923" w:rsidRPr="00E44923">
              <w:rPr>
                <w:lang w:val="hr-HR"/>
              </w:rPr>
              <w:t>zahtijevaju</w:t>
            </w:r>
            <w:r w:rsidRPr="00E44923">
              <w:rPr>
                <w:lang w:val="hr-HR"/>
              </w:rPr>
              <w:t xml:space="preserve"> provjeru</w:t>
            </w:r>
            <w:r w:rsidR="00E44923">
              <w:rPr>
                <w:lang w:val="hr-HR"/>
              </w:rPr>
              <w:t xml:space="preserve"> na licu mjesta</w:t>
            </w:r>
          </w:p>
        </w:tc>
        <w:tc>
          <w:tcPr>
            <w:tcW w:w="1384" w:type="dxa"/>
            <w:hideMark/>
          </w:tcPr>
          <w:p w14:paraId="100A78D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7CCADC5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0D75038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5D16065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</w:tr>
      <w:tr w:rsidR="00C30A61" w:rsidRPr="00E44923" w14:paraId="772077E5" w14:textId="77777777" w:rsidTr="00BF5E48">
        <w:trPr>
          <w:trHeight w:val="1275"/>
        </w:trPr>
        <w:tc>
          <w:tcPr>
            <w:tcW w:w="2153" w:type="dxa"/>
            <w:vMerge/>
            <w:hideMark/>
          </w:tcPr>
          <w:p w14:paraId="4E86047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06673649" w14:textId="6DA01DBE" w:rsidR="00C30A61" w:rsidRPr="00E44923" w:rsidRDefault="00A34A70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Evidentirane su izmjene ugovora koje </w:t>
            </w:r>
            <w:r w:rsidR="00E44923" w:rsidRPr="00E44923">
              <w:rPr>
                <w:lang w:val="hr-HR"/>
              </w:rPr>
              <w:t>zahtijevaju</w:t>
            </w:r>
            <w:r w:rsidRPr="00E44923">
              <w:rPr>
                <w:lang w:val="hr-HR"/>
              </w:rPr>
              <w:t xml:space="preserve"> </w:t>
            </w:r>
            <w:r w:rsidR="00E44923" w:rsidRPr="00E44923">
              <w:rPr>
                <w:lang w:val="hr-HR"/>
              </w:rPr>
              <w:t>provjeru</w:t>
            </w:r>
            <w:r w:rsidR="00E44923">
              <w:rPr>
                <w:lang w:val="hr-HR"/>
              </w:rPr>
              <w:t xml:space="preserve"> na licu mjesta</w:t>
            </w:r>
          </w:p>
        </w:tc>
        <w:tc>
          <w:tcPr>
            <w:tcW w:w="1384" w:type="dxa"/>
            <w:hideMark/>
          </w:tcPr>
          <w:p w14:paraId="409A403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789DA86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5352B3B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26C538C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4DD7E34C" w14:textId="77777777" w:rsidTr="00BF5E48">
        <w:trPr>
          <w:trHeight w:val="1740"/>
        </w:trPr>
        <w:tc>
          <w:tcPr>
            <w:tcW w:w="2153" w:type="dxa"/>
            <w:vMerge w:val="restart"/>
            <w:hideMark/>
          </w:tcPr>
          <w:p w14:paraId="33A4763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Utvrđen udio nepravilnosti na projektu</w:t>
            </w:r>
          </w:p>
        </w:tc>
        <w:tc>
          <w:tcPr>
            <w:tcW w:w="1762" w:type="dxa"/>
            <w:hideMark/>
          </w:tcPr>
          <w:p w14:paraId="4757F6B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Nema</w:t>
            </w:r>
          </w:p>
        </w:tc>
        <w:tc>
          <w:tcPr>
            <w:tcW w:w="1384" w:type="dxa"/>
            <w:hideMark/>
          </w:tcPr>
          <w:p w14:paraId="14A0C96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775B8F7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0E9ADB2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65D5959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5A0F8540" w14:textId="77777777" w:rsidTr="00BF5E48">
        <w:trPr>
          <w:trHeight w:val="630"/>
        </w:trPr>
        <w:tc>
          <w:tcPr>
            <w:tcW w:w="2153" w:type="dxa"/>
            <w:vMerge/>
            <w:hideMark/>
          </w:tcPr>
          <w:p w14:paraId="6E37AB9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68BF40B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Do  5% ukupno prihvatljivih troškova </w:t>
            </w:r>
          </w:p>
        </w:tc>
        <w:tc>
          <w:tcPr>
            <w:tcW w:w="1384" w:type="dxa"/>
            <w:hideMark/>
          </w:tcPr>
          <w:p w14:paraId="0C22531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1BD9A1E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0725A00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4979A08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190EEE32" w14:textId="77777777" w:rsidTr="00BF5E48">
        <w:trPr>
          <w:trHeight w:val="645"/>
        </w:trPr>
        <w:tc>
          <w:tcPr>
            <w:tcW w:w="2153" w:type="dxa"/>
            <w:vMerge/>
            <w:hideMark/>
          </w:tcPr>
          <w:p w14:paraId="2077C2E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2D7D5C9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5% - 10% ukupno prihvatljivih troškova </w:t>
            </w:r>
          </w:p>
        </w:tc>
        <w:tc>
          <w:tcPr>
            <w:tcW w:w="1384" w:type="dxa"/>
            <w:hideMark/>
          </w:tcPr>
          <w:p w14:paraId="3D5678B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3962704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107A458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3DCA684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427A472C" w14:textId="77777777" w:rsidTr="00BF5E48">
        <w:trPr>
          <w:trHeight w:val="645"/>
        </w:trPr>
        <w:tc>
          <w:tcPr>
            <w:tcW w:w="2153" w:type="dxa"/>
            <w:vMerge/>
            <w:hideMark/>
          </w:tcPr>
          <w:p w14:paraId="6CD4A07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341C1CA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10% i više ukupno prihvatljivih troškova </w:t>
            </w:r>
          </w:p>
        </w:tc>
        <w:tc>
          <w:tcPr>
            <w:tcW w:w="1384" w:type="dxa"/>
            <w:hideMark/>
          </w:tcPr>
          <w:p w14:paraId="35848B4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4</w:t>
            </w:r>
          </w:p>
        </w:tc>
        <w:tc>
          <w:tcPr>
            <w:tcW w:w="1282" w:type="dxa"/>
            <w:vMerge/>
            <w:hideMark/>
          </w:tcPr>
          <w:p w14:paraId="38E04E1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102037F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3F0F213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0E869CF6" w14:textId="77777777" w:rsidTr="00BF5E48">
        <w:trPr>
          <w:trHeight w:val="450"/>
        </w:trPr>
        <w:tc>
          <w:tcPr>
            <w:tcW w:w="2153" w:type="dxa"/>
            <w:vMerge w:val="restart"/>
            <w:hideMark/>
          </w:tcPr>
          <w:p w14:paraId="6809370D" w14:textId="5BF80A06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U tijeku je prijava sumnje na prijevaru ili je već isto </w:t>
            </w:r>
            <w:r w:rsidR="002D7A3F" w:rsidRPr="00E44923">
              <w:rPr>
                <w:lang w:val="hr-HR"/>
              </w:rPr>
              <w:t>utvrđeno</w:t>
            </w:r>
          </w:p>
        </w:tc>
        <w:tc>
          <w:tcPr>
            <w:tcW w:w="1762" w:type="dxa"/>
            <w:hideMark/>
          </w:tcPr>
          <w:p w14:paraId="4491E64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384" w:type="dxa"/>
            <w:hideMark/>
          </w:tcPr>
          <w:p w14:paraId="2C3C3BF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1DD5241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14D7148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1A3C188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35316946" w14:textId="77777777" w:rsidTr="00BF5E48">
        <w:trPr>
          <w:trHeight w:val="330"/>
        </w:trPr>
        <w:tc>
          <w:tcPr>
            <w:tcW w:w="2153" w:type="dxa"/>
            <w:vMerge/>
            <w:hideMark/>
          </w:tcPr>
          <w:p w14:paraId="5D4044A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0595EEB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384" w:type="dxa"/>
            <w:hideMark/>
          </w:tcPr>
          <w:p w14:paraId="63F2CF1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74FFC0E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1298616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7ADE175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7F958D09" w14:textId="77777777" w:rsidTr="00BF5E48">
        <w:trPr>
          <w:trHeight w:val="645"/>
        </w:trPr>
        <w:tc>
          <w:tcPr>
            <w:tcW w:w="2153" w:type="dxa"/>
            <w:vMerge w:val="restart"/>
            <w:hideMark/>
          </w:tcPr>
          <w:p w14:paraId="43A07D2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Nalazi posljednjeg PLM-a </w:t>
            </w:r>
          </w:p>
        </w:tc>
        <w:tc>
          <w:tcPr>
            <w:tcW w:w="1762" w:type="dxa"/>
            <w:hideMark/>
          </w:tcPr>
          <w:p w14:paraId="7EEEB32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Nema nalaza ili nisu značajni</w:t>
            </w:r>
          </w:p>
        </w:tc>
        <w:tc>
          <w:tcPr>
            <w:tcW w:w="1384" w:type="dxa"/>
            <w:hideMark/>
          </w:tcPr>
          <w:p w14:paraId="265D06B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59D8537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5B067E5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232939A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33D37DAB" w14:textId="77777777" w:rsidTr="00BF5E48">
        <w:trPr>
          <w:trHeight w:val="1905"/>
        </w:trPr>
        <w:tc>
          <w:tcPr>
            <w:tcW w:w="2153" w:type="dxa"/>
            <w:vMerge/>
            <w:hideMark/>
          </w:tcPr>
          <w:p w14:paraId="27509C8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5A912C5F" w14:textId="203D3450" w:rsidR="00C30A61" w:rsidRPr="00E44923" w:rsidRDefault="00C30A61" w:rsidP="002D7A3F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Značajni nalazi koji </w:t>
            </w:r>
            <w:r w:rsidR="002D7A3F" w:rsidRPr="00E44923">
              <w:rPr>
                <w:lang w:val="hr-HR"/>
              </w:rPr>
              <w:t>zahtijevaju</w:t>
            </w:r>
            <w:r w:rsidRPr="00E44923">
              <w:rPr>
                <w:lang w:val="hr-HR"/>
              </w:rPr>
              <w:t xml:space="preserve"> ponovni odlazak na PLM, međutim ne zahtijevaju hitnu reakciju korisnika</w:t>
            </w:r>
          </w:p>
        </w:tc>
        <w:tc>
          <w:tcPr>
            <w:tcW w:w="1384" w:type="dxa"/>
            <w:hideMark/>
          </w:tcPr>
          <w:p w14:paraId="0E60301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1B22050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03279E2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21EA47D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6FA552BB" w14:textId="77777777" w:rsidTr="00BF5E48">
        <w:trPr>
          <w:trHeight w:val="1905"/>
        </w:trPr>
        <w:tc>
          <w:tcPr>
            <w:tcW w:w="2153" w:type="dxa"/>
            <w:vMerge/>
            <w:hideMark/>
          </w:tcPr>
          <w:p w14:paraId="5388E32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458068A7" w14:textId="670CA40C" w:rsidR="00C30A61" w:rsidRPr="00E44923" w:rsidRDefault="00C30A61" w:rsidP="002D7A3F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 xml:space="preserve">Značajni nalazi koji </w:t>
            </w:r>
            <w:r w:rsidR="002D7A3F" w:rsidRPr="00E44923">
              <w:rPr>
                <w:lang w:val="hr-HR"/>
              </w:rPr>
              <w:t>zahtijevaju</w:t>
            </w:r>
            <w:r w:rsidRPr="00E44923">
              <w:rPr>
                <w:lang w:val="hr-HR"/>
              </w:rPr>
              <w:t xml:space="preserve"> ponovni odlazak na PLM te zahtijevaju hitnu reakciju korisnika</w:t>
            </w:r>
          </w:p>
        </w:tc>
        <w:tc>
          <w:tcPr>
            <w:tcW w:w="1384" w:type="dxa"/>
            <w:hideMark/>
          </w:tcPr>
          <w:p w14:paraId="6A3B9BB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4</w:t>
            </w:r>
          </w:p>
        </w:tc>
        <w:tc>
          <w:tcPr>
            <w:tcW w:w="1282" w:type="dxa"/>
            <w:vMerge/>
            <w:hideMark/>
          </w:tcPr>
          <w:p w14:paraId="0BD0CB0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640919A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4C29837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4A768633" w14:textId="77777777" w:rsidTr="00BF5E48">
        <w:trPr>
          <w:trHeight w:val="1590"/>
        </w:trPr>
        <w:tc>
          <w:tcPr>
            <w:tcW w:w="2153" w:type="dxa"/>
            <w:vMerge w:val="restart"/>
            <w:hideMark/>
          </w:tcPr>
          <w:p w14:paraId="3463BC5B" w14:textId="500BDC62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lastRenderedPageBreak/>
              <w:t>Postizanje pokazatelja tijekom provedbe projekta</w:t>
            </w:r>
            <w:r w:rsidR="00D44A30" w:rsidRPr="00E44923">
              <w:rPr>
                <w:lang w:val="hr-HR"/>
              </w:rPr>
              <w:t>, koliko je postizanje pokazatelja  ovisno o fizičkom ostvarenju projekta</w:t>
            </w:r>
          </w:p>
        </w:tc>
        <w:tc>
          <w:tcPr>
            <w:tcW w:w="1762" w:type="dxa"/>
            <w:hideMark/>
          </w:tcPr>
          <w:p w14:paraId="713DC29A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Ispunjavanje pokazatelja se ispunjava u skladu s dinamikom provedbe projekta</w:t>
            </w:r>
          </w:p>
        </w:tc>
        <w:tc>
          <w:tcPr>
            <w:tcW w:w="1384" w:type="dxa"/>
            <w:hideMark/>
          </w:tcPr>
          <w:p w14:paraId="695F7C1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0F2858C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19E346CE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3F200542" w14:textId="1ED097CB" w:rsidR="00C30A61" w:rsidRPr="00E44923" w:rsidRDefault="00BA76EB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</w:tr>
      <w:tr w:rsidR="00C30A61" w:rsidRPr="00E44923" w14:paraId="26C74F6F" w14:textId="77777777" w:rsidTr="00BF5E48">
        <w:trPr>
          <w:trHeight w:val="1590"/>
        </w:trPr>
        <w:tc>
          <w:tcPr>
            <w:tcW w:w="2153" w:type="dxa"/>
            <w:vMerge/>
            <w:hideMark/>
          </w:tcPr>
          <w:p w14:paraId="4007287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6DA86A8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Ispunjavanje pokazatelja se ne ispunjava u skladu s dinamikom provedbe projekta</w:t>
            </w:r>
          </w:p>
        </w:tc>
        <w:tc>
          <w:tcPr>
            <w:tcW w:w="1384" w:type="dxa"/>
            <w:hideMark/>
          </w:tcPr>
          <w:p w14:paraId="710C465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7EF43EF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7B207A32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27FCC2B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BF5E48" w:rsidRPr="00E44923" w14:paraId="2F8B6D56" w14:textId="77777777" w:rsidTr="00BF5E48">
        <w:trPr>
          <w:trHeight w:val="315"/>
        </w:trPr>
        <w:tc>
          <w:tcPr>
            <w:tcW w:w="2153" w:type="dxa"/>
            <w:vMerge w:val="restart"/>
            <w:hideMark/>
          </w:tcPr>
          <w:p w14:paraId="473F247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Posljednja važeća procjena razine rizičnosti</w:t>
            </w:r>
          </w:p>
        </w:tc>
        <w:tc>
          <w:tcPr>
            <w:tcW w:w="1762" w:type="dxa"/>
            <w:hideMark/>
          </w:tcPr>
          <w:p w14:paraId="5C66226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Niska</w:t>
            </w:r>
          </w:p>
        </w:tc>
        <w:tc>
          <w:tcPr>
            <w:tcW w:w="1384" w:type="dxa"/>
            <w:hideMark/>
          </w:tcPr>
          <w:p w14:paraId="5543707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</w:p>
        </w:tc>
        <w:tc>
          <w:tcPr>
            <w:tcW w:w="1282" w:type="dxa"/>
            <w:vMerge w:val="restart"/>
            <w:hideMark/>
          </w:tcPr>
          <w:p w14:paraId="173F2A6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6D4B6838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  <w:tc>
          <w:tcPr>
            <w:tcW w:w="1267" w:type="dxa"/>
            <w:vMerge w:val="restart"/>
            <w:hideMark/>
          </w:tcPr>
          <w:p w14:paraId="00EA1745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733E9CD8" w14:textId="77777777" w:rsidTr="00BF5E48">
        <w:trPr>
          <w:trHeight w:val="315"/>
        </w:trPr>
        <w:tc>
          <w:tcPr>
            <w:tcW w:w="2153" w:type="dxa"/>
            <w:vMerge/>
            <w:hideMark/>
          </w:tcPr>
          <w:p w14:paraId="12EE49B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5A8EF62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Srednja</w:t>
            </w:r>
          </w:p>
        </w:tc>
        <w:tc>
          <w:tcPr>
            <w:tcW w:w="1384" w:type="dxa"/>
            <w:hideMark/>
          </w:tcPr>
          <w:p w14:paraId="3985A08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</w:p>
        </w:tc>
        <w:tc>
          <w:tcPr>
            <w:tcW w:w="1282" w:type="dxa"/>
            <w:vMerge/>
            <w:hideMark/>
          </w:tcPr>
          <w:p w14:paraId="566D1EB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3340E02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5AE3E11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62679DB3" w14:textId="77777777" w:rsidTr="00BF5E48">
        <w:trPr>
          <w:trHeight w:val="330"/>
        </w:trPr>
        <w:tc>
          <w:tcPr>
            <w:tcW w:w="2153" w:type="dxa"/>
            <w:vMerge/>
            <w:hideMark/>
          </w:tcPr>
          <w:p w14:paraId="44140FD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50B0913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Visoka</w:t>
            </w:r>
          </w:p>
        </w:tc>
        <w:tc>
          <w:tcPr>
            <w:tcW w:w="1384" w:type="dxa"/>
            <w:hideMark/>
          </w:tcPr>
          <w:p w14:paraId="20C0746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123D6EF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59D6459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0C382EC9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  <w:tr w:rsidR="00C30A61" w:rsidRPr="00E44923" w14:paraId="7061BA0F" w14:textId="77777777" w:rsidTr="00BF5E48">
        <w:trPr>
          <w:trHeight w:val="660"/>
        </w:trPr>
        <w:tc>
          <w:tcPr>
            <w:tcW w:w="2153" w:type="dxa"/>
            <w:vMerge w:val="restart"/>
            <w:hideMark/>
          </w:tcPr>
          <w:p w14:paraId="3C19BD3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Postizanje pokazatelja tijekom trajnosti projekta</w:t>
            </w:r>
          </w:p>
        </w:tc>
        <w:tc>
          <w:tcPr>
            <w:tcW w:w="1762" w:type="dxa"/>
            <w:hideMark/>
          </w:tcPr>
          <w:p w14:paraId="427C8AA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Pokazatelji su postignuti</w:t>
            </w:r>
          </w:p>
        </w:tc>
        <w:tc>
          <w:tcPr>
            <w:tcW w:w="1384" w:type="dxa"/>
            <w:hideMark/>
          </w:tcPr>
          <w:p w14:paraId="3EDFC777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0</w:t>
            </w:r>
          </w:p>
        </w:tc>
        <w:tc>
          <w:tcPr>
            <w:tcW w:w="1282" w:type="dxa"/>
            <w:vMerge w:val="restart"/>
            <w:hideMark/>
          </w:tcPr>
          <w:p w14:paraId="29F3ECCF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14" w:type="dxa"/>
            <w:vMerge w:val="restart"/>
            <w:hideMark/>
          </w:tcPr>
          <w:p w14:paraId="0DD08D1B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Ne</w:t>
            </w:r>
          </w:p>
        </w:tc>
        <w:tc>
          <w:tcPr>
            <w:tcW w:w="1267" w:type="dxa"/>
            <w:vMerge w:val="restart"/>
            <w:hideMark/>
          </w:tcPr>
          <w:p w14:paraId="14C1F85D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Da</w:t>
            </w:r>
          </w:p>
        </w:tc>
      </w:tr>
      <w:tr w:rsidR="00C30A61" w:rsidRPr="00E44923" w14:paraId="7DB3A52E" w14:textId="77777777" w:rsidTr="00BF5E48">
        <w:trPr>
          <w:trHeight w:val="1275"/>
        </w:trPr>
        <w:tc>
          <w:tcPr>
            <w:tcW w:w="2153" w:type="dxa"/>
            <w:vMerge/>
            <w:hideMark/>
          </w:tcPr>
          <w:p w14:paraId="702BCD1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762" w:type="dxa"/>
            <w:hideMark/>
          </w:tcPr>
          <w:p w14:paraId="5B676D61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Ispunjenje pokazatelja predviđeno je za razdoblje trajnosti projekta</w:t>
            </w:r>
          </w:p>
        </w:tc>
        <w:tc>
          <w:tcPr>
            <w:tcW w:w="1384" w:type="dxa"/>
            <w:hideMark/>
          </w:tcPr>
          <w:p w14:paraId="29DBF87C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  <w:r w:rsidRPr="00E44923">
              <w:rPr>
                <w:lang w:val="hr-HR"/>
              </w:rPr>
              <w:t>3</w:t>
            </w:r>
          </w:p>
        </w:tc>
        <w:tc>
          <w:tcPr>
            <w:tcW w:w="1282" w:type="dxa"/>
            <w:vMerge/>
            <w:hideMark/>
          </w:tcPr>
          <w:p w14:paraId="76D86324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14" w:type="dxa"/>
            <w:vMerge/>
            <w:hideMark/>
          </w:tcPr>
          <w:p w14:paraId="666061D3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  <w:tc>
          <w:tcPr>
            <w:tcW w:w="1267" w:type="dxa"/>
            <w:vMerge/>
            <w:hideMark/>
          </w:tcPr>
          <w:p w14:paraId="1A95BE56" w14:textId="77777777" w:rsidR="00C30A61" w:rsidRPr="00E44923" w:rsidRDefault="00C30A61" w:rsidP="00C30A61">
            <w:pPr>
              <w:spacing w:before="0"/>
              <w:rPr>
                <w:lang w:val="hr-HR"/>
              </w:rPr>
            </w:pPr>
          </w:p>
        </w:tc>
      </w:tr>
    </w:tbl>
    <w:p w14:paraId="2D9F5968" w14:textId="77777777" w:rsidR="00B21D83" w:rsidRPr="00E44923" w:rsidRDefault="00B21D83" w:rsidP="00560A31">
      <w:pPr>
        <w:spacing w:before="0"/>
        <w:rPr>
          <w:lang w:val="hr-HR"/>
        </w:rPr>
      </w:pPr>
    </w:p>
    <w:p w14:paraId="3B06E164" w14:textId="77777777" w:rsidR="00BF50C6" w:rsidRPr="00E44923" w:rsidRDefault="00BF50C6">
      <w:pPr>
        <w:spacing w:before="0"/>
        <w:rPr>
          <w:b/>
          <w:lang w:val="hr-HR"/>
        </w:rPr>
      </w:pPr>
    </w:p>
    <w:p w14:paraId="7B046CAE" w14:textId="33D6C15C" w:rsidR="00BF50C6" w:rsidRPr="00E44923" w:rsidRDefault="00BF50C6">
      <w:pPr>
        <w:spacing w:before="0"/>
        <w:rPr>
          <w:b/>
          <w:lang w:val="hr-HR"/>
        </w:rPr>
      </w:pPr>
      <w:r w:rsidRPr="00E44923">
        <w:rPr>
          <w:b/>
          <w:lang w:val="hr-HR"/>
        </w:rPr>
        <w:t>Bodovni pragovi</w:t>
      </w:r>
    </w:p>
    <w:tbl>
      <w:tblPr>
        <w:tblStyle w:val="TableGrid"/>
        <w:tblW w:w="0" w:type="auto"/>
        <w:tblInd w:w="34" w:type="dxa"/>
        <w:tblLook w:val="04A0" w:firstRow="1" w:lastRow="0" w:firstColumn="1" w:lastColumn="0" w:noHBand="0" w:noVBand="1"/>
      </w:tblPr>
      <w:tblGrid>
        <w:gridCol w:w="2253"/>
        <w:gridCol w:w="2257"/>
        <w:gridCol w:w="2259"/>
        <w:gridCol w:w="2259"/>
      </w:tblGrid>
      <w:tr w:rsidR="00BF50C6" w:rsidRPr="00E44923" w14:paraId="3E6900B1" w14:textId="77777777" w:rsidTr="00BF50C6">
        <w:tc>
          <w:tcPr>
            <w:tcW w:w="2265" w:type="dxa"/>
          </w:tcPr>
          <w:p w14:paraId="25F18D2F" w14:textId="77777777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</w:p>
        </w:tc>
        <w:tc>
          <w:tcPr>
            <w:tcW w:w="2265" w:type="dxa"/>
          </w:tcPr>
          <w:p w14:paraId="3EC20616" w14:textId="7D7EED81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Niskorizičan projekt</w:t>
            </w:r>
          </w:p>
        </w:tc>
        <w:tc>
          <w:tcPr>
            <w:tcW w:w="2266" w:type="dxa"/>
          </w:tcPr>
          <w:p w14:paraId="347054CE" w14:textId="096A732A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Srednjerizičan projekt</w:t>
            </w:r>
          </w:p>
        </w:tc>
        <w:tc>
          <w:tcPr>
            <w:tcW w:w="2266" w:type="dxa"/>
          </w:tcPr>
          <w:p w14:paraId="5472425E" w14:textId="53D0CB21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Visokorizičan projekt</w:t>
            </w:r>
          </w:p>
        </w:tc>
      </w:tr>
      <w:tr w:rsidR="00BF50C6" w:rsidRPr="00E44923" w14:paraId="285190E1" w14:textId="77777777" w:rsidTr="00BF50C6">
        <w:tc>
          <w:tcPr>
            <w:tcW w:w="2265" w:type="dxa"/>
          </w:tcPr>
          <w:p w14:paraId="5D4C5965" w14:textId="5ED404EC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Početna procjena</w:t>
            </w:r>
          </w:p>
        </w:tc>
        <w:tc>
          <w:tcPr>
            <w:tcW w:w="2265" w:type="dxa"/>
          </w:tcPr>
          <w:p w14:paraId="550E6263" w14:textId="7D0A7455" w:rsidR="00BF50C6" w:rsidRPr="00E44923" w:rsidRDefault="00CC68E3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7</w:t>
            </w:r>
            <w:r w:rsidR="00BF50C6" w:rsidRPr="00E44923">
              <w:rPr>
                <w:lang w:val="hr-HR"/>
              </w:rPr>
              <w:t xml:space="preserve"> i manje</w:t>
            </w:r>
          </w:p>
        </w:tc>
        <w:tc>
          <w:tcPr>
            <w:tcW w:w="2266" w:type="dxa"/>
          </w:tcPr>
          <w:p w14:paraId="23E162FB" w14:textId="367BD283" w:rsidR="00BF50C6" w:rsidRPr="00E44923" w:rsidRDefault="00CC68E3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8</w:t>
            </w:r>
            <w:r w:rsidR="00BF50C6" w:rsidRPr="00E44923">
              <w:rPr>
                <w:lang w:val="hr-HR"/>
              </w:rPr>
              <w:t>-</w:t>
            </w:r>
            <w:r w:rsidRPr="00E44923">
              <w:rPr>
                <w:lang w:val="hr-HR"/>
              </w:rPr>
              <w:t>14</w:t>
            </w:r>
            <w:r w:rsidR="00BF50C6" w:rsidRPr="00E44923">
              <w:rPr>
                <w:lang w:val="hr-HR"/>
              </w:rPr>
              <w:t xml:space="preserve"> bodova</w:t>
            </w:r>
          </w:p>
        </w:tc>
        <w:tc>
          <w:tcPr>
            <w:tcW w:w="2266" w:type="dxa"/>
          </w:tcPr>
          <w:p w14:paraId="189F0A0F" w14:textId="4747BB77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  <w:r w:rsidR="00CC68E3" w:rsidRPr="00E44923">
              <w:rPr>
                <w:lang w:val="hr-HR"/>
              </w:rPr>
              <w:t>5</w:t>
            </w:r>
            <w:r w:rsidRPr="00E44923">
              <w:rPr>
                <w:lang w:val="hr-HR"/>
              </w:rPr>
              <w:t>-22 bodova</w:t>
            </w:r>
          </w:p>
        </w:tc>
      </w:tr>
      <w:tr w:rsidR="00BF50C6" w:rsidRPr="00E44923" w14:paraId="3AC4C378" w14:textId="77777777" w:rsidTr="00BF50C6">
        <w:tc>
          <w:tcPr>
            <w:tcW w:w="2265" w:type="dxa"/>
          </w:tcPr>
          <w:p w14:paraId="5C2FE0C0" w14:textId="06CDB76A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Godišnja procjena</w:t>
            </w:r>
          </w:p>
        </w:tc>
        <w:tc>
          <w:tcPr>
            <w:tcW w:w="2265" w:type="dxa"/>
          </w:tcPr>
          <w:p w14:paraId="33CE1DDC" w14:textId="25EF8FD6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  <w:r w:rsidR="00CC68E3" w:rsidRPr="00E44923">
              <w:rPr>
                <w:lang w:val="hr-HR"/>
              </w:rPr>
              <w:t>3</w:t>
            </w:r>
            <w:r w:rsidRPr="00E44923">
              <w:rPr>
                <w:lang w:val="hr-HR"/>
              </w:rPr>
              <w:t xml:space="preserve"> i manje</w:t>
            </w:r>
          </w:p>
        </w:tc>
        <w:tc>
          <w:tcPr>
            <w:tcW w:w="2266" w:type="dxa"/>
          </w:tcPr>
          <w:p w14:paraId="055C6149" w14:textId="77D65BC7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1</w:t>
            </w:r>
            <w:r w:rsidR="00CC68E3" w:rsidRPr="00E44923">
              <w:rPr>
                <w:lang w:val="hr-HR"/>
              </w:rPr>
              <w:t>4</w:t>
            </w:r>
            <w:r w:rsidRPr="00E44923">
              <w:rPr>
                <w:lang w:val="hr-HR"/>
              </w:rPr>
              <w:t>-2</w:t>
            </w:r>
            <w:r w:rsidR="00CC68E3" w:rsidRPr="00E44923">
              <w:rPr>
                <w:lang w:val="hr-HR"/>
              </w:rPr>
              <w:t>6</w:t>
            </w:r>
            <w:r w:rsidRPr="00E44923">
              <w:rPr>
                <w:lang w:val="hr-HR"/>
              </w:rPr>
              <w:t xml:space="preserve"> bodova</w:t>
            </w:r>
          </w:p>
        </w:tc>
        <w:tc>
          <w:tcPr>
            <w:tcW w:w="2266" w:type="dxa"/>
          </w:tcPr>
          <w:p w14:paraId="440CD143" w14:textId="758BDB80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2</w:t>
            </w:r>
            <w:r w:rsidR="00CC68E3" w:rsidRPr="00E44923">
              <w:rPr>
                <w:lang w:val="hr-HR"/>
              </w:rPr>
              <w:t>7</w:t>
            </w:r>
            <w:r w:rsidRPr="00E44923">
              <w:rPr>
                <w:lang w:val="hr-HR"/>
              </w:rPr>
              <w:t>-40 bodova</w:t>
            </w:r>
          </w:p>
        </w:tc>
      </w:tr>
      <w:tr w:rsidR="00BF50C6" w:rsidRPr="00E44923" w14:paraId="695C70A8" w14:textId="77777777" w:rsidTr="00BF50C6">
        <w:tc>
          <w:tcPr>
            <w:tcW w:w="2265" w:type="dxa"/>
          </w:tcPr>
          <w:p w14:paraId="298B9B0D" w14:textId="1D0223A5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Procjena nakon provedbe</w:t>
            </w:r>
          </w:p>
        </w:tc>
        <w:tc>
          <w:tcPr>
            <w:tcW w:w="2265" w:type="dxa"/>
          </w:tcPr>
          <w:p w14:paraId="6BC80DFF" w14:textId="3D7E0C4B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 xml:space="preserve">6 i manje </w:t>
            </w:r>
          </w:p>
        </w:tc>
        <w:tc>
          <w:tcPr>
            <w:tcW w:w="2266" w:type="dxa"/>
          </w:tcPr>
          <w:p w14:paraId="74CDEC64" w14:textId="27AA611B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7-14 bodova</w:t>
            </w:r>
          </w:p>
        </w:tc>
        <w:tc>
          <w:tcPr>
            <w:tcW w:w="2266" w:type="dxa"/>
          </w:tcPr>
          <w:p w14:paraId="1AF2A2CE" w14:textId="4E5C03B4" w:rsidR="00BF50C6" w:rsidRPr="00E44923" w:rsidRDefault="00BF50C6" w:rsidP="00791052">
            <w:pPr>
              <w:spacing w:before="0"/>
              <w:ind w:left="0"/>
              <w:rPr>
                <w:lang w:val="hr-HR"/>
              </w:rPr>
            </w:pPr>
            <w:r w:rsidRPr="00E44923">
              <w:rPr>
                <w:lang w:val="hr-HR"/>
              </w:rPr>
              <w:t>15-30 bodova</w:t>
            </w:r>
          </w:p>
        </w:tc>
      </w:tr>
    </w:tbl>
    <w:p w14:paraId="393F0FBC" w14:textId="77777777" w:rsidR="00BF50C6" w:rsidRPr="00E44923" w:rsidRDefault="00BF50C6">
      <w:pPr>
        <w:spacing w:before="0"/>
        <w:rPr>
          <w:lang w:val="hr-HR"/>
        </w:rPr>
      </w:pPr>
    </w:p>
    <w:p w14:paraId="73AB3EBE" w14:textId="77777777" w:rsidR="002D7A3F" w:rsidRDefault="002D7A3F">
      <w:pPr>
        <w:spacing w:before="0"/>
        <w:rPr>
          <w:lang w:val="hr-HR"/>
        </w:rPr>
      </w:pPr>
    </w:p>
    <w:p w14:paraId="50C4C641" w14:textId="27F691AB" w:rsidR="00BF50C6" w:rsidRDefault="00BF50C6">
      <w:pPr>
        <w:spacing w:before="0"/>
        <w:rPr>
          <w:b/>
          <w:lang w:val="hr-HR"/>
        </w:rPr>
      </w:pPr>
      <w:r w:rsidRPr="00E44923">
        <w:rPr>
          <w:b/>
          <w:lang w:val="hr-HR"/>
        </w:rPr>
        <w:lastRenderedPageBreak/>
        <w:t>Dodatni</w:t>
      </w:r>
      <w:r w:rsidRPr="002D7A3F">
        <w:rPr>
          <w:b/>
          <w:lang w:val="hr-HR"/>
        </w:rPr>
        <w:t xml:space="preserve"> </w:t>
      </w:r>
      <w:r w:rsidRPr="00E44923">
        <w:rPr>
          <w:b/>
          <w:lang w:val="hr-HR"/>
        </w:rPr>
        <w:t>faktori rizika</w:t>
      </w:r>
    </w:p>
    <w:p w14:paraId="3DEACC45" w14:textId="77777777" w:rsidR="002D7A3F" w:rsidRPr="002D7A3F" w:rsidRDefault="002D7A3F">
      <w:pPr>
        <w:spacing w:before="0"/>
        <w:rPr>
          <w:b/>
          <w:lang w:val="hr-HR"/>
        </w:rPr>
      </w:pPr>
    </w:p>
    <w:p w14:paraId="50E88790" w14:textId="08DF241D" w:rsidR="00B21D83" w:rsidRPr="00E44923" w:rsidRDefault="00416435">
      <w:pPr>
        <w:spacing w:before="0"/>
        <w:rPr>
          <w:lang w:val="hr-HR"/>
        </w:rPr>
      </w:pPr>
      <w:r w:rsidRPr="00E44923">
        <w:rPr>
          <w:lang w:val="hr-HR"/>
        </w:rPr>
        <w:t>PT2</w:t>
      </w:r>
      <w:r w:rsidR="00D13293" w:rsidRPr="00E44923">
        <w:rPr>
          <w:lang w:val="hr-HR"/>
        </w:rPr>
        <w:t xml:space="preserve"> može identificirati ostale faktore rizika</w:t>
      </w:r>
      <w:r w:rsidR="00C0686A" w:rsidRPr="00E44923">
        <w:rPr>
          <w:lang w:val="hr-HR"/>
        </w:rPr>
        <w:t>,</w:t>
      </w:r>
      <w:r w:rsidR="00D13293" w:rsidRPr="00E44923">
        <w:rPr>
          <w:lang w:val="hr-HR"/>
        </w:rPr>
        <w:t xml:space="preserve"> osim onih uključenih u ove smjernice kako bi bolje odgovaral</w:t>
      </w:r>
      <w:r w:rsidR="005B59F2" w:rsidRPr="00E44923">
        <w:rPr>
          <w:lang w:val="hr-HR"/>
        </w:rPr>
        <w:t>i</w:t>
      </w:r>
      <w:r w:rsidR="00D13293" w:rsidRPr="00E44923">
        <w:rPr>
          <w:lang w:val="hr-HR"/>
        </w:rPr>
        <w:t xml:space="preserve"> potrebama procjene rizi</w:t>
      </w:r>
      <w:r w:rsidR="001A262D" w:rsidRPr="00E44923">
        <w:rPr>
          <w:lang w:val="hr-HR"/>
        </w:rPr>
        <w:t>čnosti z</w:t>
      </w:r>
      <w:r w:rsidR="009145B6" w:rsidRPr="00E44923">
        <w:rPr>
          <w:lang w:val="hr-HR"/>
        </w:rPr>
        <w:t>a određeni s</w:t>
      </w:r>
      <w:r w:rsidR="00D13293" w:rsidRPr="00E44923">
        <w:rPr>
          <w:lang w:val="hr-HR"/>
        </w:rPr>
        <w:t>pecifični cilj</w:t>
      </w:r>
      <w:r w:rsidR="009145B6" w:rsidRPr="00E44923">
        <w:rPr>
          <w:lang w:val="hr-HR"/>
        </w:rPr>
        <w:t xml:space="preserve"> ili PDP</w:t>
      </w:r>
      <w:r w:rsidR="00D13293" w:rsidRPr="00E44923">
        <w:rPr>
          <w:lang w:val="hr-HR"/>
        </w:rPr>
        <w:t xml:space="preserve">. </w:t>
      </w:r>
      <w:r w:rsidR="009145B6" w:rsidRPr="00E44923">
        <w:rPr>
          <w:lang w:val="hr-HR"/>
        </w:rPr>
        <w:t>Za sve navedene radnje osigurava s odgovarajući revizijski trag.</w:t>
      </w:r>
      <w:r w:rsidR="001F5CC7" w:rsidRPr="00E44923">
        <w:rPr>
          <w:lang w:val="hr-HR"/>
        </w:rPr>
        <w:t xml:space="preserve"> </w:t>
      </w:r>
    </w:p>
    <w:p w14:paraId="03A579C1" w14:textId="77777777" w:rsidR="00B21D83" w:rsidRPr="00E44923" w:rsidRDefault="00B21D83" w:rsidP="00560A31">
      <w:pPr>
        <w:spacing w:before="0"/>
        <w:rPr>
          <w:lang w:val="hr-HR"/>
        </w:rPr>
      </w:pPr>
      <w:r w:rsidRPr="00E44923">
        <w:rPr>
          <w:lang w:val="hr-HR"/>
        </w:rPr>
        <w:t xml:space="preserve">  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9067"/>
      </w:tblGrid>
      <w:tr w:rsidR="00B21D83" w:rsidRPr="00E44923" w14:paraId="4394836F" w14:textId="77777777" w:rsidTr="000D105D">
        <w:tc>
          <w:tcPr>
            <w:tcW w:w="9067" w:type="dxa"/>
          </w:tcPr>
          <w:p w14:paraId="7E3C9DCD" w14:textId="77777777" w:rsidR="00B21D83" w:rsidRPr="00E44923" w:rsidRDefault="00B21D83" w:rsidP="00560A31">
            <w:pPr>
              <w:spacing w:before="0"/>
              <w:rPr>
                <w:lang w:val="hr-HR"/>
              </w:rPr>
            </w:pPr>
          </w:p>
          <w:p w14:paraId="7896930E" w14:textId="0CD5FE84" w:rsidR="00B21D83" w:rsidRPr="00E44923" w:rsidRDefault="007953BC" w:rsidP="007953BC">
            <w:pPr>
              <w:spacing w:before="0"/>
              <w:rPr>
                <w:lang w:val="hr-HR"/>
              </w:rPr>
            </w:pPr>
            <w:r>
              <w:rPr>
                <w:lang w:val="hr-HR"/>
              </w:rPr>
              <w:t>Primjenom ove metodologije osigurava se</w:t>
            </w:r>
            <w:r w:rsidR="00283153" w:rsidRPr="00E44923">
              <w:rPr>
                <w:lang w:val="hr-HR"/>
              </w:rPr>
              <w:t xml:space="preserve"> da </w:t>
            </w:r>
            <w:r w:rsidR="00434105" w:rsidRPr="00E44923">
              <w:rPr>
                <w:lang w:val="hr-HR"/>
              </w:rPr>
              <w:t xml:space="preserve">se </w:t>
            </w:r>
            <w:r w:rsidR="002D7A3F">
              <w:rPr>
                <w:lang w:val="hr-HR"/>
              </w:rPr>
              <w:t>unutar istog s</w:t>
            </w:r>
            <w:r w:rsidR="00283153" w:rsidRPr="00E44923">
              <w:rPr>
                <w:lang w:val="hr-HR"/>
              </w:rPr>
              <w:t>pecifičnog cilja ili P</w:t>
            </w:r>
            <w:r w:rsidR="00434105" w:rsidRPr="00E44923">
              <w:rPr>
                <w:lang w:val="hr-HR"/>
              </w:rPr>
              <w:t>DP-a</w:t>
            </w:r>
            <w:r w:rsidR="002D7A3F">
              <w:rPr>
                <w:lang w:val="hr-HR"/>
              </w:rPr>
              <w:t xml:space="preserve"> (u slučaju da se unutar istog s</w:t>
            </w:r>
            <w:r w:rsidR="00283153" w:rsidRPr="00E44923">
              <w:rPr>
                <w:lang w:val="hr-HR"/>
              </w:rPr>
              <w:t xml:space="preserve">pecifičnog cilja </w:t>
            </w:r>
            <w:r w:rsidR="002D7A3F">
              <w:rPr>
                <w:lang w:val="hr-HR"/>
              </w:rPr>
              <w:t xml:space="preserve">provodi </w:t>
            </w:r>
            <w:r w:rsidR="00283153" w:rsidRPr="00E44923">
              <w:rPr>
                <w:lang w:val="hr-HR"/>
              </w:rPr>
              <w:t>više od jednog P</w:t>
            </w:r>
            <w:r w:rsidR="00434105" w:rsidRPr="00E44923">
              <w:rPr>
                <w:lang w:val="hr-HR"/>
              </w:rPr>
              <w:t>DP-a</w:t>
            </w:r>
            <w:r w:rsidR="00283153" w:rsidRPr="00E44923">
              <w:rPr>
                <w:lang w:val="hr-HR"/>
              </w:rPr>
              <w:t>) procjena rizi</w:t>
            </w:r>
            <w:r w:rsidR="00434105" w:rsidRPr="00E44923">
              <w:rPr>
                <w:lang w:val="hr-HR"/>
              </w:rPr>
              <w:t xml:space="preserve">čnosti </w:t>
            </w:r>
            <w:r w:rsidR="00283153" w:rsidRPr="00E44923">
              <w:rPr>
                <w:lang w:val="hr-HR"/>
              </w:rPr>
              <w:t xml:space="preserve">projekata provodi primjenom istih faktora rizika </w:t>
            </w:r>
            <w:r w:rsidR="005655F1" w:rsidRPr="00E44923">
              <w:rPr>
                <w:lang w:val="hr-HR"/>
              </w:rPr>
              <w:t xml:space="preserve">te se za </w:t>
            </w:r>
            <w:r w:rsidR="00283153" w:rsidRPr="00E44923">
              <w:rPr>
                <w:lang w:val="hr-HR"/>
              </w:rPr>
              <w:t xml:space="preserve">iste faktore rizika </w:t>
            </w:r>
            <w:r w:rsidR="005655F1" w:rsidRPr="00E44923">
              <w:rPr>
                <w:lang w:val="hr-HR"/>
              </w:rPr>
              <w:t xml:space="preserve">primjenjuje </w:t>
            </w:r>
            <w:r w:rsidR="00283153" w:rsidRPr="00E44923">
              <w:rPr>
                <w:lang w:val="hr-HR"/>
              </w:rPr>
              <w:t xml:space="preserve">isti rang rizičnosti </w:t>
            </w:r>
            <w:r w:rsidR="005655F1" w:rsidRPr="00E44923">
              <w:rPr>
                <w:lang w:val="hr-HR"/>
              </w:rPr>
              <w:t xml:space="preserve">čime se </w:t>
            </w:r>
            <w:r w:rsidR="00283153" w:rsidRPr="00E44923">
              <w:rPr>
                <w:lang w:val="hr-HR"/>
              </w:rPr>
              <w:t>osigura</w:t>
            </w:r>
            <w:r w:rsidR="005655F1" w:rsidRPr="00E44923">
              <w:rPr>
                <w:lang w:val="hr-HR"/>
              </w:rPr>
              <w:t>va</w:t>
            </w:r>
            <w:r w:rsidR="00283153" w:rsidRPr="00E44923">
              <w:rPr>
                <w:lang w:val="hr-HR"/>
              </w:rPr>
              <w:t xml:space="preserve"> dosljednost u procjeni rizičnosti projekta </w:t>
            </w:r>
            <w:r w:rsidR="00434105" w:rsidRPr="00E44923">
              <w:rPr>
                <w:lang w:val="hr-HR"/>
              </w:rPr>
              <w:t xml:space="preserve">kao </w:t>
            </w:r>
            <w:r w:rsidR="00283153" w:rsidRPr="00E44923">
              <w:rPr>
                <w:lang w:val="hr-HR"/>
              </w:rPr>
              <w:t>i kompatibilnost razine rizi</w:t>
            </w:r>
            <w:r w:rsidR="00434105" w:rsidRPr="00E44923">
              <w:rPr>
                <w:lang w:val="hr-HR"/>
              </w:rPr>
              <w:t xml:space="preserve">čnosti </w:t>
            </w:r>
            <w:r w:rsidR="00283153" w:rsidRPr="00E44923">
              <w:rPr>
                <w:lang w:val="hr-HR"/>
              </w:rPr>
              <w:t>projekta</w:t>
            </w:r>
            <w:r>
              <w:rPr>
                <w:lang w:val="hr-HR"/>
              </w:rPr>
              <w:t>.</w:t>
            </w:r>
          </w:p>
        </w:tc>
      </w:tr>
    </w:tbl>
    <w:p w14:paraId="33832333" w14:textId="77777777" w:rsidR="00B21D83" w:rsidRPr="00E44923" w:rsidRDefault="00B21D83" w:rsidP="00560A31">
      <w:pPr>
        <w:spacing w:before="0"/>
        <w:rPr>
          <w:lang w:val="hr-HR"/>
        </w:rPr>
      </w:pPr>
    </w:p>
    <w:p w14:paraId="13F948B9" w14:textId="77777777" w:rsidR="00F73BF6" w:rsidRPr="00E44923" w:rsidRDefault="00F73BF6" w:rsidP="00560A31">
      <w:pPr>
        <w:spacing w:before="0"/>
        <w:rPr>
          <w:lang w:val="hr-HR"/>
        </w:rPr>
      </w:pPr>
    </w:p>
    <w:p w14:paraId="2E662F5F" w14:textId="77777777" w:rsidR="00B21D83" w:rsidRPr="00E44923" w:rsidRDefault="00B21D83" w:rsidP="00FF03A1">
      <w:pPr>
        <w:spacing w:before="0"/>
        <w:ind w:left="0"/>
        <w:rPr>
          <w:lang w:val="hr-HR"/>
        </w:rPr>
      </w:pPr>
      <w:r w:rsidRPr="00E44923">
        <w:rPr>
          <w:lang w:val="hr-HR"/>
        </w:rPr>
        <w:t xml:space="preserve">    </w:t>
      </w:r>
    </w:p>
    <w:p w14:paraId="655D5ED2" w14:textId="19AB960A" w:rsidR="00B21D83" w:rsidRPr="00E44923" w:rsidRDefault="006F7993" w:rsidP="000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ind w:left="0"/>
        <w:rPr>
          <w:lang w:val="hr-HR"/>
        </w:rPr>
      </w:pPr>
      <w:r w:rsidRPr="00E44923">
        <w:rPr>
          <w:b/>
          <w:lang w:val="hr-HR"/>
        </w:rPr>
        <w:t xml:space="preserve"> Razvoj plana PLM-a</w:t>
      </w:r>
      <w:r w:rsidR="00B21D83" w:rsidRPr="00E44923">
        <w:rPr>
          <w:b/>
          <w:lang w:val="hr-HR"/>
        </w:rPr>
        <w:t xml:space="preserve"> – </w:t>
      </w:r>
      <w:r w:rsidRPr="00E44923">
        <w:rPr>
          <w:b/>
          <w:lang w:val="hr-HR"/>
        </w:rPr>
        <w:t>na temelju utvrđenog stupnja rizi</w:t>
      </w:r>
      <w:r w:rsidR="00C84DF1" w:rsidRPr="00E44923">
        <w:rPr>
          <w:b/>
          <w:lang w:val="hr-HR"/>
        </w:rPr>
        <w:t>čnosti</w:t>
      </w:r>
      <w:r w:rsidRPr="00E44923">
        <w:rPr>
          <w:b/>
          <w:lang w:val="hr-HR"/>
        </w:rPr>
        <w:t xml:space="preserve"> projekta</w:t>
      </w:r>
      <w:r w:rsidR="00B21D83" w:rsidRPr="00E44923">
        <w:rPr>
          <w:b/>
          <w:lang w:val="hr-HR"/>
        </w:rPr>
        <w:t xml:space="preserve"> </w:t>
      </w:r>
    </w:p>
    <w:p w14:paraId="4A0B7B46" w14:textId="77777777" w:rsidR="00B21D83" w:rsidRPr="00E44923" w:rsidRDefault="00B21D83" w:rsidP="00560A31">
      <w:pPr>
        <w:spacing w:before="0"/>
        <w:rPr>
          <w:lang w:val="hr-HR"/>
        </w:rPr>
      </w:pPr>
    </w:p>
    <w:p w14:paraId="3585163B" w14:textId="05186765" w:rsidR="00B21D83" w:rsidRPr="00E44923" w:rsidRDefault="00FF03A1" w:rsidP="00560A31">
      <w:pPr>
        <w:spacing w:before="0"/>
        <w:rPr>
          <w:lang w:val="hr-HR"/>
        </w:rPr>
      </w:pPr>
      <w:r w:rsidRPr="00E44923">
        <w:rPr>
          <w:lang w:val="hr-HR"/>
        </w:rPr>
        <w:t>Nakon potpisivanja ugovora s k</w:t>
      </w:r>
      <w:r w:rsidR="002839FD" w:rsidRPr="00E44923">
        <w:rPr>
          <w:lang w:val="hr-HR"/>
        </w:rPr>
        <w:t xml:space="preserve">orisnikom </w:t>
      </w:r>
      <w:r w:rsidR="006B6252" w:rsidRPr="00E44923">
        <w:rPr>
          <w:lang w:val="hr-HR"/>
        </w:rPr>
        <w:t>i završet</w:t>
      </w:r>
      <w:r w:rsidR="00EF4498" w:rsidRPr="00E44923">
        <w:rPr>
          <w:lang w:val="hr-HR"/>
        </w:rPr>
        <w:t>k</w:t>
      </w:r>
      <w:r w:rsidR="006B6252" w:rsidRPr="00E44923">
        <w:rPr>
          <w:lang w:val="hr-HR"/>
        </w:rPr>
        <w:t>a</w:t>
      </w:r>
      <w:r w:rsidR="00EF4498" w:rsidRPr="00E44923">
        <w:rPr>
          <w:lang w:val="hr-HR"/>
        </w:rPr>
        <w:t xml:space="preserve"> </w:t>
      </w:r>
      <w:r w:rsidR="00C84DF1" w:rsidRPr="00E44923">
        <w:rPr>
          <w:lang w:val="hr-HR"/>
        </w:rPr>
        <w:t>I</w:t>
      </w:r>
      <w:r w:rsidR="00EF4498" w:rsidRPr="00E44923">
        <w:rPr>
          <w:lang w:val="hr-HR"/>
        </w:rPr>
        <w:t>nicijalne procjene rizi</w:t>
      </w:r>
      <w:r w:rsidR="00C84DF1" w:rsidRPr="00E44923">
        <w:rPr>
          <w:lang w:val="hr-HR"/>
        </w:rPr>
        <w:t xml:space="preserve">čnosti </w:t>
      </w:r>
      <w:r w:rsidR="00EF4498" w:rsidRPr="00E44923">
        <w:rPr>
          <w:lang w:val="hr-HR"/>
        </w:rPr>
        <w:t xml:space="preserve">projekta </w:t>
      </w:r>
      <w:r w:rsidR="006B6252" w:rsidRPr="00E44923">
        <w:rPr>
          <w:lang w:val="hr-HR"/>
        </w:rPr>
        <w:t>-</w:t>
      </w:r>
      <w:r w:rsidR="00B21D83" w:rsidRPr="00E44923">
        <w:rPr>
          <w:lang w:val="hr-HR"/>
        </w:rPr>
        <w:t xml:space="preserve"> </w:t>
      </w:r>
      <w:r w:rsidR="006B6252" w:rsidRPr="00E44923">
        <w:rPr>
          <w:lang w:val="hr-HR"/>
        </w:rPr>
        <w:t xml:space="preserve">na temelju utvrđenog stupnja rizika projekta </w:t>
      </w:r>
      <w:r w:rsidR="00416435" w:rsidRPr="00E44923">
        <w:rPr>
          <w:lang w:val="hr-HR"/>
        </w:rPr>
        <w:t>PT2</w:t>
      </w:r>
      <w:r w:rsidRPr="00E44923">
        <w:rPr>
          <w:lang w:val="hr-HR"/>
        </w:rPr>
        <w:t xml:space="preserve"> </w:t>
      </w:r>
      <w:r w:rsidR="006B6252" w:rsidRPr="00E44923">
        <w:rPr>
          <w:lang w:val="hr-HR"/>
        </w:rPr>
        <w:t xml:space="preserve">planira učestalost </w:t>
      </w:r>
      <w:r w:rsidR="00B710A4" w:rsidRPr="00E44923">
        <w:rPr>
          <w:lang w:val="hr-HR"/>
        </w:rPr>
        <w:t>PLM-ova</w:t>
      </w:r>
      <w:r w:rsidR="006B6252" w:rsidRPr="00E44923">
        <w:rPr>
          <w:lang w:val="hr-HR"/>
        </w:rPr>
        <w:t xml:space="preserve"> </w:t>
      </w:r>
      <w:r w:rsidR="006B6252" w:rsidRPr="00E44923">
        <w:rPr>
          <w:b/>
          <w:lang w:val="hr-HR"/>
        </w:rPr>
        <w:t>tijekom provedbe projekta:</w:t>
      </w:r>
      <w:r w:rsidR="006B6252" w:rsidRPr="00E44923">
        <w:rPr>
          <w:lang w:val="hr-HR"/>
        </w:rPr>
        <w:t xml:space="preserve"> </w:t>
      </w:r>
    </w:p>
    <w:p w14:paraId="4DB29B31" w14:textId="77777777" w:rsidR="00B21D83" w:rsidRPr="00E44923" w:rsidRDefault="00B21D83" w:rsidP="00560A31">
      <w:pPr>
        <w:spacing w:before="0"/>
        <w:rPr>
          <w:lang w:val="hr-HR"/>
        </w:rPr>
      </w:pPr>
    </w:p>
    <w:p w14:paraId="57F884C2" w14:textId="1683B1F7" w:rsidR="00B21D83" w:rsidRPr="00E44923" w:rsidRDefault="006B6252" w:rsidP="00096B44">
      <w:pPr>
        <w:spacing w:before="0"/>
        <w:contextualSpacing/>
        <w:rPr>
          <w:lang w:val="hr-HR"/>
        </w:rPr>
      </w:pPr>
      <w:r w:rsidRPr="00E44923">
        <w:rPr>
          <w:b/>
          <w:lang w:val="hr-HR"/>
        </w:rPr>
        <w:t>Za visokorizične projekte</w:t>
      </w:r>
      <w:r w:rsidR="00B21D83" w:rsidRPr="00E44923">
        <w:rPr>
          <w:lang w:val="hr-HR"/>
        </w:rPr>
        <w:t xml:space="preserve"> – </w:t>
      </w:r>
      <w:r w:rsidR="0016376D" w:rsidRPr="00E44923">
        <w:rPr>
          <w:lang w:val="hr-HR"/>
        </w:rPr>
        <w:t>PLM-ovi</w:t>
      </w:r>
      <w:r w:rsidRPr="00E44923">
        <w:rPr>
          <w:lang w:val="hr-HR"/>
        </w:rPr>
        <w:t xml:space="preserve"> </w:t>
      </w:r>
      <w:r w:rsidR="0016376D" w:rsidRPr="00E44923">
        <w:rPr>
          <w:lang w:val="hr-HR"/>
        </w:rPr>
        <w:t>se provode</w:t>
      </w:r>
      <w:r w:rsidRPr="00E44923">
        <w:rPr>
          <w:lang w:val="hr-HR"/>
        </w:rPr>
        <w:t xml:space="preserve"> </w:t>
      </w:r>
      <w:r w:rsidRPr="00E44923">
        <w:rPr>
          <w:u w:val="single"/>
          <w:lang w:val="hr-HR"/>
        </w:rPr>
        <w:t>najmanje jednom godišnje tijekom provedbe projekta</w:t>
      </w:r>
      <w:r w:rsidRPr="00E44923">
        <w:rPr>
          <w:lang w:val="hr-HR"/>
        </w:rPr>
        <w:t xml:space="preserve">. </w:t>
      </w:r>
    </w:p>
    <w:p w14:paraId="70A9A70A" w14:textId="77777777" w:rsidR="000F7CFC" w:rsidRPr="00E44923" w:rsidRDefault="000F7CFC" w:rsidP="00560A31">
      <w:pPr>
        <w:pStyle w:val="ListParagraph"/>
        <w:spacing w:before="0"/>
        <w:rPr>
          <w:lang w:val="hr-HR"/>
        </w:rPr>
      </w:pPr>
    </w:p>
    <w:p w14:paraId="69F15FEC" w14:textId="39228D15" w:rsidR="00BD4AFB" w:rsidRPr="00E44923" w:rsidRDefault="00325CA2" w:rsidP="00BD4AFB">
      <w:pPr>
        <w:spacing w:before="0"/>
        <w:ind w:left="0"/>
        <w:rPr>
          <w:lang w:val="hr-HR"/>
        </w:rPr>
      </w:pPr>
      <w:r w:rsidRPr="00E44923">
        <w:rPr>
          <w:lang w:val="hr-HR"/>
        </w:rPr>
        <w:t xml:space="preserve">Ovisno o financijskom i stvarnom napretku projekta, </w:t>
      </w:r>
      <w:r w:rsidR="0016376D" w:rsidRPr="00E44923">
        <w:rPr>
          <w:lang w:val="hr-HR"/>
        </w:rPr>
        <w:t>PLM-ovi</w:t>
      </w:r>
      <w:r w:rsidRPr="00E44923">
        <w:rPr>
          <w:lang w:val="hr-HR"/>
        </w:rPr>
        <w:t xml:space="preserve"> </w:t>
      </w:r>
      <w:r w:rsidR="002D7A3F">
        <w:rPr>
          <w:lang w:val="hr-HR"/>
        </w:rPr>
        <w:t xml:space="preserve">se mogu </w:t>
      </w:r>
      <w:r w:rsidRPr="00E44923">
        <w:rPr>
          <w:lang w:val="hr-HR"/>
        </w:rPr>
        <w:t>provesti kao “djelomični PLM-ovi”</w:t>
      </w:r>
      <w:r w:rsidR="002D7A3F">
        <w:rPr>
          <w:lang w:val="hr-HR"/>
        </w:rPr>
        <w:t xml:space="preserve"> ili se ne provoditi</w:t>
      </w:r>
      <w:r w:rsidRPr="00E44923">
        <w:rPr>
          <w:lang w:val="hr-HR"/>
        </w:rPr>
        <w:t xml:space="preserve"> – ne primjenjuj</w:t>
      </w:r>
      <w:r w:rsidR="002D7A3F">
        <w:rPr>
          <w:lang w:val="hr-HR"/>
        </w:rPr>
        <w:t>e se</w:t>
      </w:r>
      <w:r w:rsidRPr="00E44923">
        <w:rPr>
          <w:lang w:val="hr-HR"/>
        </w:rPr>
        <w:t xml:space="preserve"> puni opseg svih elemenata </w:t>
      </w:r>
      <w:r w:rsidR="002D7A3F">
        <w:rPr>
          <w:lang w:val="hr-HR"/>
        </w:rPr>
        <w:t>provjera</w:t>
      </w:r>
      <w:r w:rsidR="00B21D83" w:rsidRPr="00E44923">
        <w:rPr>
          <w:lang w:val="hr-HR"/>
        </w:rPr>
        <w:t>. “</w:t>
      </w:r>
      <w:r w:rsidRPr="00E44923">
        <w:rPr>
          <w:lang w:val="hr-HR"/>
        </w:rPr>
        <w:t>Djelomične provjere</w:t>
      </w:r>
      <w:r w:rsidR="002D7A3F">
        <w:rPr>
          <w:lang w:val="hr-HR"/>
        </w:rPr>
        <w:t>”</w:t>
      </w:r>
      <w:r w:rsidRPr="00E44923">
        <w:rPr>
          <w:lang w:val="hr-HR"/>
        </w:rPr>
        <w:t xml:space="preserve"> provode </w:t>
      </w:r>
      <w:r w:rsidR="002D7A3F" w:rsidRPr="00E44923">
        <w:rPr>
          <w:lang w:val="hr-HR"/>
        </w:rPr>
        <w:t xml:space="preserve">se </w:t>
      </w:r>
      <w:r w:rsidRPr="00E44923">
        <w:rPr>
          <w:lang w:val="hr-HR"/>
        </w:rPr>
        <w:t>tijekom prve godine provedbe projekta kada je napredak u provedbi projekta nedovoljan.</w:t>
      </w:r>
      <w:r w:rsidR="00B21D83" w:rsidRPr="00E44923">
        <w:rPr>
          <w:lang w:val="hr-HR"/>
        </w:rPr>
        <w:t xml:space="preserve"> </w:t>
      </w:r>
      <w:r w:rsidR="00764FF6" w:rsidRPr="00E44923">
        <w:rPr>
          <w:lang w:val="hr-HR"/>
        </w:rPr>
        <w:t xml:space="preserve">Kada se rade </w:t>
      </w:r>
      <w:r w:rsidR="00B21D83" w:rsidRPr="00E44923">
        <w:rPr>
          <w:lang w:val="hr-HR"/>
        </w:rPr>
        <w:t>“</w:t>
      </w:r>
      <w:r w:rsidRPr="00E44923">
        <w:rPr>
          <w:lang w:val="hr-HR"/>
        </w:rPr>
        <w:t>djelomične provjere</w:t>
      </w:r>
      <w:r w:rsidR="00B21D83" w:rsidRPr="00E44923">
        <w:rPr>
          <w:lang w:val="hr-HR"/>
        </w:rPr>
        <w:t xml:space="preserve">” </w:t>
      </w:r>
      <w:r w:rsidR="00764FF6" w:rsidRPr="00E44923">
        <w:rPr>
          <w:lang w:val="hr-HR"/>
        </w:rPr>
        <w:t>na licu mjesta</w:t>
      </w:r>
      <w:r w:rsidR="002D7A3F">
        <w:rPr>
          <w:lang w:val="hr-HR"/>
        </w:rPr>
        <w:t>,</w:t>
      </w:r>
      <w:r w:rsidR="00764FF6" w:rsidRPr="00E44923">
        <w:rPr>
          <w:lang w:val="hr-HR"/>
        </w:rPr>
        <w:t xml:space="preserve"> opseg pregleda mora biti jasno evidentiran </w:t>
      </w:r>
      <w:r w:rsidR="00AA2F46" w:rsidRPr="00E44923">
        <w:rPr>
          <w:lang w:val="hr-HR"/>
        </w:rPr>
        <w:t>u kontrolnoj listi i izvješću te mora ukazivati na opravdanost “djelomične”</w:t>
      </w:r>
      <w:r w:rsidR="00FF03A1" w:rsidRPr="00E44923">
        <w:rPr>
          <w:lang w:val="hr-HR"/>
        </w:rPr>
        <w:t xml:space="preserve"> provjere</w:t>
      </w:r>
      <w:r w:rsidR="00AA2F46" w:rsidRPr="00E44923">
        <w:rPr>
          <w:lang w:val="hr-HR"/>
        </w:rPr>
        <w:t xml:space="preserve"> (na primjer, projekt još nije počeo</w:t>
      </w:r>
      <w:r w:rsidR="00BD4AFB" w:rsidRPr="00E44923">
        <w:rPr>
          <w:lang w:val="hr-HR"/>
        </w:rPr>
        <w:t>; ili primjerice, mogu se provesti odvojene provjere radova, od primjerice roba (ukoliko npr. robe nisu istovremeno dostupne za provjeru u adekvatnom opsegu; itd.)</w:t>
      </w:r>
    </w:p>
    <w:p w14:paraId="3ED76A72" w14:textId="77777777" w:rsidR="00B21D83" w:rsidRPr="00E44923" w:rsidRDefault="00B21D83" w:rsidP="00560A31">
      <w:pPr>
        <w:spacing w:before="0"/>
        <w:rPr>
          <w:lang w:val="hr-HR"/>
        </w:rPr>
      </w:pPr>
    </w:p>
    <w:p w14:paraId="691B730D" w14:textId="4A3A90CE" w:rsidR="00B21D83" w:rsidRPr="00E44923" w:rsidRDefault="006D1097" w:rsidP="000D105D">
      <w:pPr>
        <w:spacing w:before="0"/>
        <w:contextualSpacing/>
        <w:rPr>
          <w:lang w:val="hr-HR"/>
        </w:rPr>
      </w:pPr>
      <w:r w:rsidRPr="00E44923">
        <w:rPr>
          <w:b/>
          <w:lang w:val="hr-HR"/>
        </w:rPr>
        <w:t xml:space="preserve">Za srednje-rizične projekte </w:t>
      </w:r>
      <w:r w:rsidR="00B21D83" w:rsidRPr="00E44923">
        <w:rPr>
          <w:lang w:val="hr-HR"/>
        </w:rPr>
        <w:t xml:space="preserve">– </w:t>
      </w:r>
      <w:r w:rsidR="0016376D" w:rsidRPr="00E44923">
        <w:rPr>
          <w:lang w:val="hr-HR"/>
        </w:rPr>
        <w:t xml:space="preserve">PLM-ovi se </w:t>
      </w:r>
      <w:r w:rsidR="00646EFA" w:rsidRPr="00E44923">
        <w:rPr>
          <w:lang w:val="hr-HR"/>
        </w:rPr>
        <w:t xml:space="preserve">provode </w:t>
      </w:r>
      <w:r w:rsidR="00646EFA" w:rsidRPr="00E44923">
        <w:rPr>
          <w:u w:val="single"/>
          <w:lang w:val="hr-HR"/>
        </w:rPr>
        <w:t>najmanje jednom tijekom razdoblja provedbe projekta</w:t>
      </w:r>
      <w:r w:rsidR="00B21D83" w:rsidRPr="00E44923">
        <w:rPr>
          <w:lang w:val="hr-HR"/>
        </w:rPr>
        <w:t xml:space="preserve">. </w:t>
      </w:r>
    </w:p>
    <w:p w14:paraId="5D19992E" w14:textId="77777777" w:rsidR="00B21D83" w:rsidRPr="00E44923" w:rsidRDefault="00B21D83" w:rsidP="00560A31">
      <w:pPr>
        <w:spacing w:before="0"/>
        <w:rPr>
          <w:lang w:val="hr-HR"/>
        </w:rPr>
      </w:pPr>
    </w:p>
    <w:p w14:paraId="7A011C9E" w14:textId="00549244" w:rsidR="00B21D83" w:rsidRPr="00AD5A26" w:rsidRDefault="006D1097" w:rsidP="000D105D">
      <w:pPr>
        <w:spacing w:before="0"/>
        <w:contextualSpacing/>
        <w:rPr>
          <w:u w:val="single"/>
          <w:lang w:val="hr-HR"/>
        </w:rPr>
      </w:pPr>
      <w:r w:rsidRPr="00E44923">
        <w:rPr>
          <w:b/>
          <w:lang w:val="hr-HR"/>
        </w:rPr>
        <w:t>Za niskorizične projekte</w:t>
      </w:r>
      <w:r w:rsidR="00B21D83" w:rsidRPr="00E44923">
        <w:rPr>
          <w:lang w:val="hr-HR"/>
        </w:rPr>
        <w:t xml:space="preserve"> – </w:t>
      </w:r>
      <w:r w:rsidR="00DD2D27" w:rsidRPr="00E44923">
        <w:rPr>
          <w:lang w:val="hr-HR"/>
        </w:rPr>
        <w:t>PLM-ovi</w:t>
      </w:r>
      <w:r w:rsidR="006472F9" w:rsidRPr="00E44923">
        <w:rPr>
          <w:lang w:val="hr-HR"/>
        </w:rPr>
        <w:t xml:space="preserve"> se </w:t>
      </w:r>
      <w:r w:rsidR="00AD5A26">
        <w:rPr>
          <w:lang w:val="hr-HR"/>
        </w:rPr>
        <w:t>mogu provoditi na</w:t>
      </w:r>
      <w:r w:rsidR="00F9018E" w:rsidRPr="00E44923">
        <w:rPr>
          <w:lang w:val="hr-HR"/>
        </w:rPr>
        <w:t xml:space="preserve"> </w:t>
      </w:r>
      <w:r w:rsidR="00AD5A26">
        <w:rPr>
          <w:lang w:val="hr-HR"/>
        </w:rPr>
        <w:t xml:space="preserve">temelju </w:t>
      </w:r>
      <w:r w:rsidR="00F9018E" w:rsidRPr="00E44923">
        <w:rPr>
          <w:lang w:val="hr-HR"/>
        </w:rPr>
        <w:t>slučajnog odabira –</w:t>
      </w:r>
      <w:r w:rsidR="00AD5A26">
        <w:rPr>
          <w:lang w:val="hr-HR"/>
        </w:rPr>
        <w:t xml:space="preserve"> </w:t>
      </w:r>
      <w:r w:rsidR="002B62C6" w:rsidRPr="00E44923">
        <w:rPr>
          <w:lang w:val="hr-HR"/>
        </w:rPr>
        <w:t xml:space="preserve">na </w:t>
      </w:r>
      <w:r w:rsidR="00F9018E" w:rsidRPr="00E44923">
        <w:rPr>
          <w:lang w:val="hr-HR"/>
        </w:rPr>
        <w:t xml:space="preserve">barem </w:t>
      </w:r>
      <w:r w:rsidR="00B21D83" w:rsidRPr="00E44923">
        <w:rPr>
          <w:lang w:val="hr-HR"/>
        </w:rPr>
        <w:t xml:space="preserve">30% </w:t>
      </w:r>
      <w:r w:rsidR="00F9018E" w:rsidRPr="00E44923">
        <w:rPr>
          <w:lang w:val="hr-HR"/>
        </w:rPr>
        <w:t>niskori</w:t>
      </w:r>
      <w:r w:rsidR="00B851BF" w:rsidRPr="00E44923">
        <w:rPr>
          <w:lang w:val="hr-HR"/>
        </w:rPr>
        <w:t>zičnih projekata unutar svakog s</w:t>
      </w:r>
      <w:r w:rsidR="00F9018E" w:rsidRPr="00E44923">
        <w:rPr>
          <w:lang w:val="hr-HR"/>
        </w:rPr>
        <w:t>p</w:t>
      </w:r>
      <w:r w:rsidR="002B62C6" w:rsidRPr="00E44923">
        <w:rPr>
          <w:lang w:val="hr-HR"/>
        </w:rPr>
        <w:t>e</w:t>
      </w:r>
      <w:r w:rsidR="00F9018E" w:rsidRPr="00E44923">
        <w:rPr>
          <w:lang w:val="hr-HR"/>
        </w:rPr>
        <w:t>cifičnog cilja i</w:t>
      </w:r>
      <w:r w:rsidR="002B62C6" w:rsidRPr="00E44923">
        <w:rPr>
          <w:lang w:val="hr-HR"/>
        </w:rPr>
        <w:t>li P</w:t>
      </w:r>
      <w:r w:rsidR="00DD2D27" w:rsidRPr="00E44923">
        <w:rPr>
          <w:lang w:val="hr-HR"/>
        </w:rPr>
        <w:t>DP-a</w:t>
      </w:r>
      <w:r w:rsidR="00B4643B" w:rsidRPr="00E44923">
        <w:rPr>
          <w:lang w:val="hr-HR"/>
        </w:rPr>
        <w:t>, a navedeni uzorak može se primijeniti i u slučajevima velikog broja malih operacija, kada administrativne provjere mogu osigurati visoku razinu jamstva</w:t>
      </w:r>
      <w:r w:rsidR="006472F9" w:rsidRPr="00E44923">
        <w:rPr>
          <w:lang w:val="hr-HR"/>
        </w:rPr>
        <w:t>, kako je navedeno u Smjernicama EK o upravljačkim provjerama.</w:t>
      </w:r>
      <w:r w:rsidR="00F40A67" w:rsidRPr="00E44923">
        <w:rPr>
          <w:lang w:val="hr-HR"/>
        </w:rPr>
        <w:t xml:space="preserve"> PLM-ovi se provode </w:t>
      </w:r>
      <w:r w:rsidR="00F40A67" w:rsidRPr="00E44923">
        <w:rPr>
          <w:u w:val="single"/>
          <w:lang w:val="hr-HR"/>
        </w:rPr>
        <w:t>najmanje jednom tijekom razdoblja provedbe projekta.</w:t>
      </w:r>
      <w:r w:rsidR="00AD5A26">
        <w:rPr>
          <w:u w:val="single"/>
          <w:lang w:val="hr-HR"/>
        </w:rPr>
        <w:t xml:space="preserve"> </w:t>
      </w:r>
      <w:r w:rsidR="00AD5A26" w:rsidRPr="00AD5A26">
        <w:rPr>
          <w:u w:val="single"/>
          <w:lang w:val="hr-HR"/>
        </w:rPr>
        <w:t>Ako se PLM ne provodi na temelju uzorka, tada se provodi kao i za srednje-rizične projekte.</w:t>
      </w:r>
    </w:p>
    <w:p w14:paraId="3DE9D275" w14:textId="2CC6EDE2" w:rsidR="00916096" w:rsidRPr="00E44923" w:rsidRDefault="00916096" w:rsidP="00402F2C">
      <w:pPr>
        <w:spacing w:before="0"/>
        <w:ind w:left="0"/>
        <w:rPr>
          <w:lang w:val="hr-HR"/>
        </w:rPr>
      </w:pPr>
    </w:p>
    <w:p w14:paraId="495B2C0F" w14:textId="599CB01C" w:rsidR="00916096" w:rsidRPr="00E44923" w:rsidRDefault="00916096" w:rsidP="000D105D">
      <w:pPr>
        <w:spacing w:before="0"/>
        <w:ind w:left="0"/>
        <w:rPr>
          <w:lang w:val="hr-HR"/>
        </w:rPr>
      </w:pPr>
      <w:r w:rsidRPr="00E44923">
        <w:rPr>
          <w:lang w:val="hr-HR"/>
        </w:rPr>
        <w:lastRenderedPageBreak/>
        <w:t xml:space="preserve">Nakon Inicijalne procjene </w:t>
      </w:r>
      <w:r w:rsidR="00D709E4">
        <w:rPr>
          <w:lang w:val="hr-HR"/>
        </w:rPr>
        <w:t>rizičnosti,</w:t>
      </w:r>
      <w:r w:rsidRPr="00E44923">
        <w:rPr>
          <w:lang w:val="hr-HR"/>
        </w:rPr>
        <w:t xml:space="preserve"> i ako je projekt odabran po metodi slučajnog odabira, PLM se planira tijekom provedbe projekta, ali ne nužno tijekom prve godine provedbe projekta.  </w:t>
      </w:r>
    </w:p>
    <w:p w14:paraId="17B3CFF0" w14:textId="6D123663" w:rsidR="00B21D83" w:rsidRPr="00E44923" w:rsidRDefault="00B21D83" w:rsidP="00402F2C">
      <w:pPr>
        <w:spacing w:before="0"/>
        <w:ind w:left="0"/>
        <w:rPr>
          <w:lang w:val="hr-HR"/>
        </w:rPr>
      </w:pPr>
    </w:p>
    <w:p w14:paraId="6B36FB2A" w14:textId="77777777" w:rsidR="00916096" w:rsidRPr="00E44923" w:rsidRDefault="00916096" w:rsidP="00916096">
      <w:p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PLM se provodi kada je projekt već napredovao, u smislu fizičkog i financijskog napretka, a samo kao iznimka kada je operacija već završena. </w:t>
      </w:r>
    </w:p>
    <w:p w14:paraId="374E5ED0" w14:textId="77777777" w:rsidR="00916096" w:rsidRPr="00E44923" w:rsidRDefault="00916096" w:rsidP="00916096">
      <w:pPr>
        <w:spacing w:before="0"/>
        <w:contextualSpacing/>
        <w:rPr>
          <w:lang w:val="hr-HR"/>
        </w:rPr>
      </w:pPr>
    </w:p>
    <w:p w14:paraId="54982269" w14:textId="610D48F5" w:rsidR="00916096" w:rsidRPr="00E44923" w:rsidRDefault="00BD4AFB" w:rsidP="00916096">
      <w:p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Za projekte koji se smatraju </w:t>
      </w:r>
      <w:r w:rsidRPr="00E44923">
        <w:rPr>
          <w:b/>
          <w:lang w:val="hr-HR"/>
        </w:rPr>
        <w:t>velikim projektima sukladno članku 100. Uredbe br. 1303/2013</w:t>
      </w:r>
      <w:r w:rsidRPr="00E44923">
        <w:rPr>
          <w:lang w:val="hr-HR"/>
        </w:rPr>
        <w:t xml:space="preserve"> se ne provodi analiza rizika već se isti odmah svrstavaju u visokorizične projekte.  </w:t>
      </w:r>
      <w:r w:rsidR="00916096" w:rsidRPr="00E44923">
        <w:rPr>
          <w:lang w:val="hr-HR"/>
        </w:rPr>
        <w:t>PLM-ovi se provode najmanje jednom godišnje tijekom provedbe projekta, te na završetku projekta u svrhu provjere stvarnog postojanja operacije.</w:t>
      </w:r>
    </w:p>
    <w:p w14:paraId="6B6CEF9B" w14:textId="77777777" w:rsidR="00916096" w:rsidRPr="00E44923" w:rsidRDefault="00916096" w:rsidP="00916096">
      <w:pPr>
        <w:spacing w:before="0"/>
        <w:contextualSpacing/>
        <w:rPr>
          <w:lang w:val="hr-HR"/>
        </w:rPr>
      </w:pPr>
    </w:p>
    <w:p w14:paraId="12FFA2E0" w14:textId="77777777" w:rsidR="0034550D" w:rsidRPr="00E44923" w:rsidRDefault="00916096" w:rsidP="00916096">
      <w:p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Općenito, kod </w:t>
      </w:r>
      <w:r w:rsidRPr="00E44923">
        <w:rPr>
          <w:b/>
          <w:u w:val="single"/>
          <w:lang w:val="hr-HR"/>
        </w:rPr>
        <w:t>projekata koji sadrže komponentu građevinskih radova</w:t>
      </w:r>
      <w:r w:rsidRPr="00E44923">
        <w:rPr>
          <w:lang w:val="hr-HR"/>
        </w:rPr>
        <w:t xml:space="preserve"> PLM se planiraju uzimajući u obzir početak građenja i dinamiku provedbe ugovora o građenju kako bi se na vrijeme i adekvatno mogli usporediti napredak radova i iznosi za koje korisnik potražuje kroz ZNS. </w:t>
      </w:r>
    </w:p>
    <w:p w14:paraId="5BFFC764" w14:textId="77777777" w:rsidR="0034550D" w:rsidRPr="00E44923" w:rsidRDefault="00916096" w:rsidP="00916096">
      <w:p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Obavlja se veći broj PLM-a tijekom/nakon razdoblja izgradnje, uključujući jednu (ili više, ovisno o specifičnostima i kompleksnosti projekta) provjeru u početnom razdoblju u cilju sprječavanja nepravilnosti, jednu provjeru tijekom faze izgradnje (ili više, ovisno o specifičnostima i kompleksnosti projekta) te jednu provjeru nakon završetka izgradnje kako bi se potvrdila stvarnost operacije. </w:t>
      </w:r>
    </w:p>
    <w:p w14:paraId="4D3108DD" w14:textId="7E913DF0" w:rsidR="00916096" w:rsidRPr="00E44923" w:rsidRDefault="00916096" w:rsidP="00916096">
      <w:p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Sukladno navedenome, odgovarajući broj provjera uključuje </w:t>
      </w:r>
      <w:r w:rsidRPr="00E44923">
        <w:rPr>
          <w:b/>
          <w:lang w:val="hr-HR"/>
        </w:rPr>
        <w:t>najmanje tri provjere, ako je navedeno objektivno moguće</w:t>
      </w:r>
      <w:r w:rsidRPr="00E44923">
        <w:rPr>
          <w:lang w:val="hr-HR"/>
        </w:rPr>
        <w:t>, uzimajući u obzir dinamiku izvođenja i završetka radova u trenutku potpisivanja ugovora o dodjeli bespovratnih sredstava.</w:t>
      </w:r>
    </w:p>
    <w:p w14:paraId="1374D47B" w14:textId="65ABEA82" w:rsidR="00916096" w:rsidRPr="003A616E" w:rsidRDefault="00916096" w:rsidP="006472F9">
      <w:p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U navedene svrhe </w:t>
      </w:r>
      <w:r w:rsidR="00416435" w:rsidRPr="00E44923">
        <w:rPr>
          <w:lang w:val="hr-HR"/>
        </w:rPr>
        <w:t>PT2</w:t>
      </w:r>
      <w:r w:rsidRPr="00E44923">
        <w:rPr>
          <w:lang w:val="hr-HR"/>
        </w:rPr>
        <w:t xml:space="preserve"> zahtijeva od korisnika terminski plan tijeka građevinskih radova bespovratnih sredstava. Eventualne prilagodbe plana moguće su kod izmijenjenih okolnosti koje utječu na terminski plan provedbe građenja. Na ovakvu situaciju </w:t>
      </w:r>
      <w:r w:rsidR="00416435" w:rsidRPr="00E44923">
        <w:rPr>
          <w:lang w:val="hr-HR"/>
        </w:rPr>
        <w:t>PT2</w:t>
      </w:r>
      <w:r w:rsidRPr="00E44923">
        <w:rPr>
          <w:lang w:val="hr-HR"/>
        </w:rPr>
        <w:t xml:space="preserve"> upozorava korisnika te od njega zahtijeva  dostavljanje izmijenjenog terminskog plana i najavu počet</w:t>
      </w:r>
      <w:r w:rsidR="006472F9" w:rsidRPr="00E44923">
        <w:rPr>
          <w:lang w:val="hr-HR"/>
        </w:rPr>
        <w:t>ka</w:t>
      </w:r>
      <w:r w:rsidRPr="00E44923">
        <w:rPr>
          <w:lang w:val="hr-HR"/>
        </w:rPr>
        <w:t xml:space="preserve"> izvođenja specifičnih radova ili počet</w:t>
      </w:r>
      <w:r w:rsidR="006472F9" w:rsidRPr="00E44923">
        <w:rPr>
          <w:lang w:val="hr-HR"/>
        </w:rPr>
        <w:t xml:space="preserve">ka </w:t>
      </w:r>
      <w:r w:rsidRPr="00E44923">
        <w:rPr>
          <w:lang w:val="hr-HR"/>
        </w:rPr>
        <w:t>ugradnje specifičnih materijala ili opreme.</w:t>
      </w:r>
      <w:r w:rsidR="006472F9" w:rsidRPr="00E44923">
        <w:rPr>
          <w:lang w:val="hr-HR"/>
        </w:rPr>
        <w:t xml:space="preserve"> </w:t>
      </w:r>
      <w:r w:rsidRPr="00E44923">
        <w:rPr>
          <w:lang w:val="hr-HR"/>
        </w:rPr>
        <w:t xml:space="preserve">Također, kod navedenih projekata, na nasumičnom uzorku, provjerava se i količina i kvaliteta korištenih materijala, odnosno ispunjava li materijal korišten za izgradnju zahtjeve iz tehničke </w:t>
      </w:r>
      <w:r w:rsidRPr="003A616E">
        <w:rPr>
          <w:lang w:val="hr-HR"/>
        </w:rPr>
        <w:t>specifikacije (neovisno o tome je li u konkretnom slučaju nadzorni inženjer proveo odgovarajuće provjere).</w:t>
      </w:r>
    </w:p>
    <w:p w14:paraId="192ACEA0" w14:textId="77777777" w:rsidR="00F375F4" w:rsidRPr="003A616E" w:rsidRDefault="00F375F4" w:rsidP="00916096">
      <w:pPr>
        <w:spacing w:before="0"/>
        <w:contextualSpacing/>
        <w:rPr>
          <w:lang w:val="hr-HR"/>
        </w:rPr>
      </w:pPr>
    </w:p>
    <w:p w14:paraId="040832FA" w14:textId="5FB54F2E" w:rsidR="00916096" w:rsidRPr="00E44923" w:rsidRDefault="00F375F4" w:rsidP="00916096">
      <w:pPr>
        <w:spacing w:before="0"/>
        <w:contextualSpacing/>
        <w:rPr>
          <w:lang w:val="hr-HR"/>
        </w:rPr>
      </w:pPr>
      <w:r w:rsidRPr="003A616E">
        <w:rPr>
          <w:lang w:val="hr-HR"/>
        </w:rPr>
        <w:t>Međutim, PT2 može ovisno o ko</w:t>
      </w:r>
      <w:r w:rsidR="00D709E4" w:rsidRPr="003A616E">
        <w:rPr>
          <w:lang w:val="hr-HR"/>
        </w:rPr>
        <w:t xml:space="preserve">mpleksnosti i dinamici projekta, na temelju </w:t>
      </w:r>
      <w:r w:rsidRPr="003A616E">
        <w:rPr>
          <w:lang w:val="hr-HR"/>
        </w:rPr>
        <w:t>kriterij</w:t>
      </w:r>
      <w:r w:rsidR="00D709E4" w:rsidRPr="003A616E">
        <w:rPr>
          <w:lang w:val="hr-HR"/>
        </w:rPr>
        <w:t>a koje</w:t>
      </w:r>
      <w:r w:rsidRPr="003A616E">
        <w:rPr>
          <w:lang w:val="hr-HR"/>
        </w:rPr>
        <w:t xml:space="preserve"> raspisuje u svom PoP-u</w:t>
      </w:r>
      <w:r w:rsidR="00D709E4" w:rsidRPr="003A616E">
        <w:rPr>
          <w:lang w:val="hr-HR"/>
        </w:rPr>
        <w:t>, koje prethodno odobrava UT,</w:t>
      </w:r>
      <w:r w:rsidRPr="003A616E">
        <w:rPr>
          <w:lang w:val="hr-HR"/>
        </w:rPr>
        <w:t xml:space="preserve"> u </w:t>
      </w:r>
      <w:r w:rsidR="00D709E4" w:rsidRPr="003A616E">
        <w:rPr>
          <w:lang w:val="hr-HR"/>
        </w:rPr>
        <w:t xml:space="preserve">sljedećim </w:t>
      </w:r>
      <w:r w:rsidRPr="003A616E">
        <w:rPr>
          <w:lang w:val="hr-HR"/>
        </w:rPr>
        <w:t>slučajevima</w:t>
      </w:r>
      <w:r w:rsidR="00D709E4" w:rsidRPr="003A616E">
        <w:rPr>
          <w:lang w:val="hr-HR"/>
        </w:rPr>
        <w:t xml:space="preserve"> obaviti jednu provjeru na licu mjesta: provedbe </w:t>
      </w:r>
      <w:r w:rsidRPr="003A616E">
        <w:rPr>
          <w:lang w:val="hr-HR"/>
        </w:rPr>
        <w:t>manje</w:t>
      </w:r>
      <w:r w:rsidR="00D709E4" w:rsidRPr="003A616E">
        <w:rPr>
          <w:lang w:val="hr-HR"/>
        </w:rPr>
        <w:t xml:space="preserve"> kompleksnih ugovora o radovima</w:t>
      </w:r>
      <w:r w:rsidRPr="003A616E">
        <w:rPr>
          <w:lang w:val="hr-HR"/>
        </w:rPr>
        <w:t xml:space="preserve"> vrijednosti do 500.000</w:t>
      </w:r>
      <w:r w:rsidR="00D709E4" w:rsidRPr="003A616E">
        <w:rPr>
          <w:lang w:val="hr-HR"/>
        </w:rPr>
        <w:t>,00</w:t>
      </w:r>
      <w:r w:rsidRPr="003A616E">
        <w:rPr>
          <w:lang w:val="hr-HR"/>
        </w:rPr>
        <w:t xml:space="preserve"> kn</w:t>
      </w:r>
      <w:r w:rsidR="00D709E4" w:rsidRPr="003A616E">
        <w:rPr>
          <w:lang w:val="hr-HR"/>
        </w:rPr>
        <w:t>,</w:t>
      </w:r>
      <w:r w:rsidRPr="003A616E">
        <w:rPr>
          <w:lang w:val="hr-HR"/>
        </w:rPr>
        <w:t xml:space="preserve"> ili </w:t>
      </w:r>
      <w:r w:rsidR="00D709E4" w:rsidRPr="003A616E">
        <w:rPr>
          <w:lang w:val="hr-HR"/>
        </w:rPr>
        <w:t xml:space="preserve">projekata </w:t>
      </w:r>
      <w:r w:rsidRPr="003A616E">
        <w:rPr>
          <w:lang w:val="hr-HR"/>
        </w:rPr>
        <w:t>čija provedba traje kraće od 6 mjeseci</w:t>
      </w:r>
      <w:r w:rsidR="00D709E4" w:rsidRPr="003A616E">
        <w:rPr>
          <w:lang w:val="hr-HR"/>
        </w:rPr>
        <w:t>,</w:t>
      </w:r>
      <w:r w:rsidRPr="003A616E">
        <w:rPr>
          <w:lang w:val="hr-HR"/>
        </w:rPr>
        <w:t xml:space="preserve"> ili kod ugovora kod kojih je provedba</w:t>
      </w:r>
      <w:r w:rsidR="00D709E4" w:rsidRPr="003A616E">
        <w:rPr>
          <w:lang w:val="hr-HR"/>
        </w:rPr>
        <w:t xml:space="preserve"> radova započela prije potpisa u</w:t>
      </w:r>
      <w:r w:rsidRPr="003A616E">
        <w:rPr>
          <w:lang w:val="hr-HR"/>
        </w:rPr>
        <w:t xml:space="preserve">govora o </w:t>
      </w:r>
      <w:r w:rsidR="00D709E4" w:rsidRPr="003A616E">
        <w:rPr>
          <w:lang w:val="hr-HR"/>
        </w:rPr>
        <w:t xml:space="preserve">dodjeli bespovratnih sredstava </w:t>
      </w:r>
      <w:r w:rsidRPr="003A616E">
        <w:rPr>
          <w:lang w:val="hr-HR"/>
        </w:rPr>
        <w:t xml:space="preserve">i  provedba radova traje još najviše 6 mjeseci od </w:t>
      </w:r>
      <w:r w:rsidR="00D709E4" w:rsidRPr="003A616E">
        <w:rPr>
          <w:lang w:val="hr-HR"/>
        </w:rPr>
        <w:t xml:space="preserve">sklapanja </w:t>
      </w:r>
      <w:r w:rsidRPr="003A616E">
        <w:rPr>
          <w:lang w:val="hr-HR"/>
        </w:rPr>
        <w:t>ugovora</w:t>
      </w:r>
      <w:r w:rsidR="00D709E4" w:rsidRPr="003A616E">
        <w:rPr>
          <w:lang w:val="hr-HR"/>
        </w:rPr>
        <w:t>.</w:t>
      </w:r>
    </w:p>
    <w:p w14:paraId="7700E4B4" w14:textId="77777777" w:rsidR="00F375F4" w:rsidRPr="00E44923" w:rsidRDefault="00F375F4" w:rsidP="00916096">
      <w:pPr>
        <w:spacing w:before="0"/>
        <w:contextualSpacing/>
        <w:rPr>
          <w:lang w:val="hr-HR"/>
        </w:rPr>
      </w:pPr>
    </w:p>
    <w:p w14:paraId="49984E74" w14:textId="0F50714B" w:rsidR="00916096" w:rsidRPr="00E44923" w:rsidRDefault="00916096" w:rsidP="00916096">
      <w:pPr>
        <w:spacing w:before="0"/>
        <w:ind w:left="0"/>
        <w:contextualSpacing/>
        <w:rPr>
          <w:rFonts w:eastAsia="Times New Roman"/>
          <w:lang w:val="hr-HR" w:eastAsia="lt-LT"/>
        </w:rPr>
      </w:pPr>
      <w:r w:rsidRPr="00E44923">
        <w:rPr>
          <w:rFonts w:eastAsia="Times New Roman"/>
          <w:lang w:val="hr-HR" w:eastAsia="lt-LT"/>
        </w:rPr>
        <w:t xml:space="preserve">Neovisno o broju provjera koje je potrebno obaviti vezano za izvođenje građevinskih radova, </w:t>
      </w:r>
      <w:r w:rsidR="00416435" w:rsidRPr="00E44923">
        <w:rPr>
          <w:rFonts w:eastAsia="Times New Roman"/>
          <w:lang w:val="hr-HR" w:eastAsia="lt-LT"/>
        </w:rPr>
        <w:t>PT2</w:t>
      </w:r>
      <w:r w:rsidRPr="00E44923">
        <w:rPr>
          <w:rFonts w:eastAsia="Times New Roman"/>
          <w:lang w:val="hr-HR" w:eastAsia="lt-LT"/>
        </w:rPr>
        <w:t xml:space="preserve"> planira provjeru ostalih elemenata projekta (za koje potrebno obaviti provjeru ostvarenja fizičkih pokazatelja) na temelju procjene rizika</w:t>
      </w:r>
      <w:r w:rsidRPr="00E44923">
        <w:rPr>
          <w:rFonts w:eastAsia="Times New Roman"/>
          <w:i/>
          <w:lang w:val="hr-HR" w:eastAsia="lt-LT"/>
        </w:rPr>
        <w:t xml:space="preserve"> (Prilog 11 Procjena rizičnosti).</w:t>
      </w:r>
      <w:r w:rsidRPr="00E44923">
        <w:rPr>
          <w:rFonts w:eastAsia="Times New Roman"/>
          <w:lang w:val="hr-HR" w:eastAsia="lt-LT"/>
        </w:rPr>
        <w:t xml:space="preserve"> Provjere građevinskih/infrastrukturnih radova i provjere ostalih elemenata projekta mogu se obavljati </w:t>
      </w:r>
      <w:r w:rsidRPr="00E44923">
        <w:rPr>
          <w:rFonts w:eastAsia="Times New Roman"/>
          <w:lang w:val="hr-HR" w:eastAsia="lt-LT"/>
        </w:rPr>
        <w:lastRenderedPageBreak/>
        <w:t xml:space="preserve">istovremeno ili odvojeno (ovisno o dinamici projektnih aktivnosti i dostupnosti elemenata koje treba provjeriti). </w:t>
      </w:r>
    </w:p>
    <w:p w14:paraId="7306835E" w14:textId="77777777" w:rsidR="00916096" w:rsidRPr="00E44923" w:rsidRDefault="00916096" w:rsidP="00916096">
      <w:pPr>
        <w:spacing w:before="0"/>
        <w:ind w:left="0"/>
        <w:contextualSpacing/>
        <w:rPr>
          <w:rFonts w:eastAsia="Times New Roman"/>
          <w:lang w:val="hr-HR" w:eastAsia="en-US"/>
        </w:rPr>
      </w:pPr>
    </w:p>
    <w:p w14:paraId="5BEA9513" w14:textId="77777777" w:rsidR="00916096" w:rsidRPr="00E44923" w:rsidRDefault="00916096" w:rsidP="00916096">
      <w:pPr>
        <w:spacing w:before="0"/>
        <w:rPr>
          <w:rFonts w:eastAsia="Times New Roman"/>
          <w:lang w:val="hr-HR" w:eastAsia="lt-LT"/>
        </w:rPr>
      </w:pPr>
      <w:r w:rsidRPr="00E44923">
        <w:rPr>
          <w:rFonts w:eastAsia="Times New Roman"/>
          <w:lang w:val="hr-HR" w:eastAsia="lt-LT"/>
        </w:rPr>
        <w:t>U slučaju kada nije moguće odrediti broj provjera na licu mjesta do 31. prosinca tekuće godine za iduću godinu, jer do tog datuma nisu potpisani ugovori o dodjeli bespovratnih sredstava već je potpisivanje planirano kasnije tijekom godine, broj provjera (planiranih/ad hoc) se ažurira nakon potpisivanja ugovora o dodjeli bespovratnih sredstava, odnosno tijekom razdoblja provedbe projekta uzimajući u obzir sve prethodno opisane kriterije</w:t>
      </w:r>
    </w:p>
    <w:p w14:paraId="5165D158" w14:textId="77777777" w:rsidR="00916096" w:rsidRPr="00E44923" w:rsidRDefault="00916096" w:rsidP="00916096">
      <w:pPr>
        <w:spacing w:before="0"/>
        <w:ind w:left="709"/>
        <w:contextualSpacing/>
        <w:rPr>
          <w:rFonts w:eastAsia="Times New Roman"/>
          <w:lang w:val="hr-HR" w:eastAsia="lt-LT"/>
        </w:rPr>
      </w:pPr>
    </w:p>
    <w:p w14:paraId="4A1CF5D5" w14:textId="1C170B96" w:rsidR="00916096" w:rsidRPr="00E44923" w:rsidRDefault="00416435" w:rsidP="00916096">
      <w:pPr>
        <w:spacing w:before="0"/>
        <w:rPr>
          <w:rFonts w:eastAsia="Times New Roman"/>
          <w:lang w:val="hr-HR" w:eastAsia="en-US"/>
        </w:rPr>
      </w:pPr>
      <w:r w:rsidRPr="00E44923">
        <w:rPr>
          <w:rFonts w:eastAsia="Times New Roman"/>
          <w:lang w:val="hr-HR" w:eastAsia="lt-LT"/>
        </w:rPr>
        <w:t>PT2</w:t>
      </w:r>
      <w:r w:rsidR="00916096" w:rsidRPr="00E44923">
        <w:rPr>
          <w:rFonts w:eastAsia="Times New Roman"/>
          <w:lang w:val="hr-HR" w:eastAsia="lt-LT"/>
        </w:rPr>
        <w:t xml:space="preserve"> osigurava da PLM provodi odgovarajući broj osoba koje će imati i odgovarajuća stručna znanja,</w:t>
      </w:r>
      <w:r w:rsidR="00916096" w:rsidRPr="00E44923">
        <w:rPr>
          <w:rFonts w:eastAsia="Times New Roman"/>
          <w:lang w:val="hr-HR" w:eastAsia="en-US"/>
        </w:rPr>
        <w:t xml:space="preserve"> </w:t>
      </w:r>
      <w:r w:rsidR="00916096" w:rsidRPr="00E44923">
        <w:rPr>
          <w:rFonts w:eastAsia="Times New Roman"/>
          <w:lang w:val="hr-HR" w:eastAsia="lt-LT"/>
        </w:rPr>
        <w:t xml:space="preserve">ovisno o kompleksnosti i opsegu provjere, a ako to ne može osigurati internim administrativnim kapacitetima, angažiranjem vanjskog stručnjaka u specifičnom području. </w:t>
      </w:r>
    </w:p>
    <w:p w14:paraId="540FD68D" w14:textId="77777777" w:rsidR="00916096" w:rsidRPr="00E44923" w:rsidRDefault="00916096" w:rsidP="00916096">
      <w:pPr>
        <w:spacing w:before="0"/>
        <w:ind w:left="709"/>
        <w:contextualSpacing/>
        <w:rPr>
          <w:rFonts w:eastAsia="Times New Roman"/>
          <w:lang w:val="hr-HR" w:eastAsia="en-US"/>
        </w:rPr>
      </w:pPr>
    </w:p>
    <w:p w14:paraId="7EA6C7D2" w14:textId="77777777" w:rsidR="00916096" w:rsidRPr="00E44923" w:rsidRDefault="00916096" w:rsidP="00916096">
      <w:pPr>
        <w:spacing w:before="0"/>
        <w:rPr>
          <w:rFonts w:eastAsia="Times New Roman"/>
          <w:lang w:val="hr-HR" w:eastAsia="lt-LT"/>
        </w:rPr>
      </w:pPr>
      <w:r w:rsidRPr="00E44923">
        <w:rPr>
          <w:rFonts w:eastAsia="Times New Roman"/>
          <w:lang w:val="hr-HR" w:eastAsia="lt-LT"/>
        </w:rPr>
        <w:t xml:space="preserve">PLM (u slučaju kada se u okviru projekta obavlja samo jedna planirana provjera) odnosno </w:t>
      </w:r>
      <w:r w:rsidRPr="00E44923">
        <w:rPr>
          <w:rFonts w:eastAsia="Times New Roman"/>
          <w:b/>
          <w:lang w:val="hr-HR" w:eastAsia="lt-LT"/>
        </w:rPr>
        <w:t>zadnja provjera na licu mjesta</w:t>
      </w:r>
      <w:r w:rsidRPr="00E44923">
        <w:rPr>
          <w:rFonts w:eastAsia="Times New Roman"/>
          <w:lang w:val="hr-HR" w:eastAsia="lt-LT"/>
        </w:rPr>
        <w:t xml:space="preserve"> (u slučaju kada se u okviru projekta obavljaju dvije ili više planiranih ili ad hoc provjera) </w:t>
      </w:r>
      <w:r w:rsidRPr="00E44923">
        <w:rPr>
          <w:rFonts w:eastAsia="Times New Roman"/>
          <w:b/>
          <w:lang w:val="hr-HR" w:eastAsia="lt-LT"/>
        </w:rPr>
        <w:t>provodi se najkasnije 15 dana od dana dostavljanja završnog ZNS-a i izvještaja  o provedbi projekta</w:t>
      </w:r>
      <w:r w:rsidRPr="00E44923">
        <w:rPr>
          <w:rFonts w:eastAsia="Times New Roman"/>
          <w:lang w:val="hr-HR" w:eastAsia="lt-LT"/>
        </w:rPr>
        <w:t xml:space="preserve">. </w:t>
      </w:r>
    </w:p>
    <w:p w14:paraId="6EBD6FAB" w14:textId="77777777" w:rsidR="00916096" w:rsidRPr="00E44923" w:rsidRDefault="00916096" w:rsidP="00560A31">
      <w:pPr>
        <w:pStyle w:val="ListParagraph"/>
        <w:spacing w:before="0"/>
        <w:ind w:left="360"/>
        <w:rPr>
          <w:lang w:val="hr-HR"/>
        </w:rPr>
      </w:pPr>
    </w:p>
    <w:p w14:paraId="6D8A1A3F" w14:textId="74E8165B" w:rsidR="00B21D83" w:rsidRPr="00E44923" w:rsidRDefault="00B21D83" w:rsidP="00402F2C">
      <w:pPr>
        <w:pStyle w:val="ListParagraph"/>
        <w:spacing w:before="0"/>
        <w:ind w:left="360"/>
        <w:rPr>
          <w:lang w:val="hr-HR"/>
        </w:rPr>
      </w:pPr>
      <w:r w:rsidRPr="00E44923">
        <w:rPr>
          <w:lang w:val="hr-HR"/>
        </w:rPr>
        <w:br/>
      </w:r>
    </w:p>
    <w:p w14:paraId="661DCA36" w14:textId="34C4137C" w:rsidR="00B21D83" w:rsidRPr="00E44923" w:rsidRDefault="00B21D83" w:rsidP="000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ind w:left="0"/>
        <w:contextualSpacing/>
        <w:rPr>
          <w:b/>
          <w:lang w:val="hr-HR"/>
        </w:rPr>
      </w:pPr>
      <w:r w:rsidRPr="00E44923">
        <w:rPr>
          <w:b/>
          <w:lang w:val="hr-HR"/>
        </w:rPr>
        <w:t>Modific</w:t>
      </w:r>
      <w:r w:rsidR="006F7993" w:rsidRPr="00E44923">
        <w:rPr>
          <w:b/>
          <w:lang w:val="hr-HR"/>
        </w:rPr>
        <w:t>iranje plana PLM-a</w:t>
      </w:r>
      <w:r w:rsidRPr="00E44923">
        <w:rPr>
          <w:b/>
          <w:lang w:val="hr-HR"/>
        </w:rPr>
        <w:t xml:space="preserve"> – </w:t>
      </w:r>
      <w:r w:rsidR="006F7993" w:rsidRPr="00E44923">
        <w:rPr>
          <w:b/>
          <w:lang w:val="hr-HR"/>
        </w:rPr>
        <w:t>na temelju Godišnje procjene rizi</w:t>
      </w:r>
      <w:r w:rsidR="00DD2D27" w:rsidRPr="00E44923">
        <w:rPr>
          <w:b/>
          <w:lang w:val="hr-HR"/>
        </w:rPr>
        <w:t>čnosti</w:t>
      </w:r>
      <w:r w:rsidRPr="00E44923">
        <w:rPr>
          <w:b/>
          <w:lang w:val="hr-HR"/>
        </w:rPr>
        <w:t xml:space="preserve"> </w:t>
      </w:r>
    </w:p>
    <w:p w14:paraId="1FE3660A" w14:textId="77777777" w:rsidR="00B21D83" w:rsidRPr="00E44923" w:rsidRDefault="00B21D83" w:rsidP="00560A31">
      <w:pPr>
        <w:pStyle w:val="ListParagraph"/>
        <w:spacing w:before="0"/>
        <w:ind w:left="0"/>
        <w:rPr>
          <w:lang w:val="hr-HR"/>
        </w:rPr>
      </w:pPr>
    </w:p>
    <w:p w14:paraId="234FD879" w14:textId="682265CC" w:rsidR="009450DD" w:rsidRPr="00E44923" w:rsidRDefault="0083299E">
      <w:pPr>
        <w:spacing w:before="0"/>
        <w:ind w:left="0"/>
        <w:rPr>
          <w:lang w:val="hr-HR"/>
        </w:rPr>
      </w:pPr>
      <w:r w:rsidRPr="00E44923">
        <w:rPr>
          <w:lang w:val="hr-HR"/>
        </w:rPr>
        <w:t>P</w:t>
      </w:r>
      <w:r w:rsidR="00AE2987" w:rsidRPr="00E44923">
        <w:rPr>
          <w:lang w:val="hr-HR"/>
        </w:rPr>
        <w:t>onovn</w:t>
      </w:r>
      <w:r w:rsidRPr="00E44923">
        <w:rPr>
          <w:lang w:val="hr-HR"/>
        </w:rPr>
        <w:t>e</w:t>
      </w:r>
      <w:r w:rsidR="00AE2987" w:rsidRPr="00E44923">
        <w:rPr>
          <w:lang w:val="hr-HR"/>
        </w:rPr>
        <w:t xml:space="preserve"> procjen</w:t>
      </w:r>
      <w:r w:rsidRPr="00E44923">
        <w:rPr>
          <w:lang w:val="hr-HR"/>
        </w:rPr>
        <w:t>e</w:t>
      </w:r>
      <w:r w:rsidR="00AE2987" w:rsidRPr="00E44923">
        <w:rPr>
          <w:lang w:val="hr-HR"/>
        </w:rPr>
        <w:t xml:space="preserve"> rizičnosti projekata</w:t>
      </w:r>
      <w:r w:rsidR="002D0256" w:rsidRPr="00E44923">
        <w:rPr>
          <w:lang w:val="hr-HR"/>
        </w:rPr>
        <w:t xml:space="preserve"> sukladno Prilogu 11</w:t>
      </w:r>
      <w:r w:rsidR="00AE2987" w:rsidRPr="00E44923">
        <w:rPr>
          <w:lang w:val="hr-HR"/>
        </w:rPr>
        <w:t xml:space="preserve"> provod</w:t>
      </w:r>
      <w:r w:rsidRPr="00E44923">
        <w:rPr>
          <w:lang w:val="hr-HR"/>
        </w:rPr>
        <w:t>e</w:t>
      </w:r>
      <w:r w:rsidR="00AE2987" w:rsidRPr="00E44923">
        <w:rPr>
          <w:lang w:val="hr-HR"/>
        </w:rPr>
        <w:t xml:space="preserve"> se </w:t>
      </w:r>
      <w:r w:rsidR="009450DD" w:rsidRPr="00E44923">
        <w:rPr>
          <w:lang w:val="hr-HR"/>
        </w:rPr>
        <w:t>minimalno jednom u kalendarskoj godini za sve projekte na razi</w:t>
      </w:r>
      <w:r w:rsidR="003A616E">
        <w:rPr>
          <w:lang w:val="hr-HR"/>
        </w:rPr>
        <w:t>ni PT2, a zadnje se usklađuju s</w:t>
      </w:r>
      <w:r w:rsidR="009450DD" w:rsidRPr="00E44923">
        <w:rPr>
          <w:lang w:val="hr-HR"/>
        </w:rPr>
        <w:t xml:space="preserve"> aktivno</w:t>
      </w:r>
      <w:r w:rsidR="003A616E">
        <w:rPr>
          <w:lang w:val="hr-HR"/>
        </w:rPr>
        <w:t>šću</w:t>
      </w:r>
      <w:r w:rsidR="009450DD" w:rsidRPr="00E44923">
        <w:rPr>
          <w:lang w:val="hr-HR"/>
        </w:rPr>
        <w:t xml:space="preserve"> odobravanja godišnjeg plana/registra provjera na licu mjesta (koji se odobrava do 31. prosinca za iduću godinu). </w:t>
      </w:r>
    </w:p>
    <w:p w14:paraId="3AE19A26" w14:textId="77777777" w:rsidR="002D0256" w:rsidRPr="00E44923" w:rsidRDefault="002D0256">
      <w:pPr>
        <w:spacing w:before="0"/>
        <w:ind w:left="0"/>
        <w:rPr>
          <w:lang w:val="hr-HR"/>
        </w:rPr>
      </w:pPr>
    </w:p>
    <w:p w14:paraId="3347AC74" w14:textId="71B881ED" w:rsidR="002D0256" w:rsidRPr="00E44923" w:rsidRDefault="002D0256">
      <w:pPr>
        <w:spacing w:before="0"/>
        <w:ind w:left="0"/>
        <w:rPr>
          <w:lang w:val="hr-HR"/>
        </w:rPr>
      </w:pPr>
      <w:r w:rsidRPr="00E44923">
        <w:rPr>
          <w:lang w:val="hr-HR"/>
        </w:rPr>
        <w:t xml:space="preserve">Ukoliko su okolnosti oko pojedinog projekta takve da zahtijevaju novu analizu rizičnosti, PT2 može godišnju procjenu rizičnosti tijekom provedbe projekta izvršiti u bilo koje vrijeme te sukladno rezultatu modificirati godišnji plan PLM-ova. </w:t>
      </w:r>
    </w:p>
    <w:p w14:paraId="44219F83" w14:textId="77777777" w:rsidR="002D0256" w:rsidRPr="00E44923" w:rsidRDefault="002D0256">
      <w:pPr>
        <w:spacing w:before="0"/>
        <w:ind w:left="0"/>
        <w:rPr>
          <w:lang w:val="hr-HR"/>
        </w:rPr>
      </w:pPr>
    </w:p>
    <w:p w14:paraId="71CE611A" w14:textId="73D3EC70" w:rsidR="00B21D83" w:rsidRPr="00E44923" w:rsidRDefault="002D0256" w:rsidP="00C16CA4">
      <w:pPr>
        <w:spacing w:before="0"/>
        <w:ind w:left="0"/>
        <w:rPr>
          <w:lang w:val="hr-HR"/>
        </w:rPr>
      </w:pPr>
      <w:r w:rsidRPr="00E44923">
        <w:rPr>
          <w:lang w:val="hr-HR"/>
        </w:rPr>
        <w:t>Prilikom</w:t>
      </w:r>
      <w:r w:rsidR="00AE2987" w:rsidRPr="00E44923">
        <w:rPr>
          <w:lang w:val="hr-HR"/>
        </w:rPr>
        <w:t xml:space="preserve"> modifikacije godišnjeg plana PLM-ova</w:t>
      </w:r>
      <w:r w:rsidRPr="00E44923">
        <w:rPr>
          <w:lang w:val="hr-HR"/>
        </w:rPr>
        <w:t xml:space="preserve"> treba se voditi računa o</w:t>
      </w:r>
      <w:r w:rsidR="00C16CA4" w:rsidRPr="00E44923">
        <w:rPr>
          <w:lang w:val="hr-HR"/>
        </w:rPr>
        <w:t xml:space="preserve"> tome da se o</w:t>
      </w:r>
      <w:r w:rsidR="00DB514F" w:rsidRPr="00E44923">
        <w:rPr>
          <w:lang w:val="hr-HR"/>
        </w:rPr>
        <w:t xml:space="preserve">sigura i dalje uzorak od </w:t>
      </w:r>
      <w:r w:rsidR="003A616E">
        <w:rPr>
          <w:lang w:val="hr-HR"/>
        </w:rPr>
        <w:t>najmanje</w:t>
      </w:r>
      <w:r w:rsidR="00DB514F" w:rsidRPr="00E44923">
        <w:rPr>
          <w:lang w:val="hr-HR"/>
        </w:rPr>
        <w:t xml:space="preserve"> 30% niskorizičnih projekata unutar svakog specifičnog cilja ili PDP-a/ velikog broja malih operacija </w:t>
      </w:r>
      <w:r w:rsidR="00DB514F" w:rsidRPr="00E44923">
        <w:rPr>
          <w:b/>
          <w:lang w:val="hr-HR"/>
        </w:rPr>
        <w:t>tijekom provedbe projekata</w:t>
      </w:r>
      <w:r w:rsidR="00DB514F" w:rsidRPr="00E44923">
        <w:rPr>
          <w:lang w:val="hr-HR"/>
        </w:rPr>
        <w:t>, a kako je navedeno u gornjem poglavlju Razvoj plana PLM-a</w:t>
      </w:r>
      <w:r w:rsidR="00AE2987" w:rsidRPr="00E44923">
        <w:rPr>
          <w:lang w:val="hr-HR"/>
        </w:rPr>
        <w:t xml:space="preserve">: </w:t>
      </w:r>
    </w:p>
    <w:p w14:paraId="157009A0" w14:textId="77777777" w:rsidR="00B21D83" w:rsidRPr="00E44923" w:rsidRDefault="00B21D83" w:rsidP="00560A31">
      <w:pPr>
        <w:pStyle w:val="ListParagraph"/>
        <w:spacing w:before="0"/>
        <w:ind w:left="360"/>
        <w:rPr>
          <w:lang w:val="hr-HR"/>
        </w:rPr>
      </w:pPr>
    </w:p>
    <w:p w14:paraId="062DF740" w14:textId="7256BDBB" w:rsidR="00B21D83" w:rsidRPr="00E44923" w:rsidRDefault="002236CA" w:rsidP="00560A31">
      <w:pPr>
        <w:pStyle w:val="ListParagraph"/>
        <w:numPr>
          <w:ilvl w:val="0"/>
          <w:numId w:val="28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>Ako je niskorizič</w:t>
      </w:r>
      <w:r w:rsidR="009B493E" w:rsidRPr="00E44923">
        <w:rPr>
          <w:lang w:val="hr-HR"/>
        </w:rPr>
        <w:t>a</w:t>
      </w:r>
      <w:r w:rsidRPr="00E44923">
        <w:rPr>
          <w:lang w:val="hr-HR"/>
        </w:rPr>
        <w:t>n projekt postao srednje-rizičan ili visokorizičan, aritmetički izračun će se napraviti bez obzira što preostali niskorizični projekti i dalje predstavljaju bar</w:t>
      </w:r>
      <w:r w:rsidR="00B851BF" w:rsidRPr="00E44923">
        <w:rPr>
          <w:lang w:val="hr-HR"/>
        </w:rPr>
        <w:t>em 30% niskorizičnih projekata s</w:t>
      </w:r>
      <w:r w:rsidRPr="00E44923">
        <w:rPr>
          <w:lang w:val="hr-HR"/>
        </w:rPr>
        <w:t xml:space="preserve">pecifičnog cilja ili </w:t>
      </w:r>
      <w:r w:rsidR="007E4ED4" w:rsidRPr="00E44923">
        <w:rPr>
          <w:lang w:val="hr-HR"/>
        </w:rPr>
        <w:t>pojedinog</w:t>
      </w:r>
      <w:r w:rsidRPr="00E44923">
        <w:rPr>
          <w:lang w:val="hr-HR"/>
        </w:rPr>
        <w:t xml:space="preserve"> P</w:t>
      </w:r>
      <w:r w:rsidR="00DD2D27" w:rsidRPr="00E44923">
        <w:rPr>
          <w:lang w:val="hr-HR"/>
        </w:rPr>
        <w:t>DP-a</w:t>
      </w:r>
      <w:r w:rsidRPr="00E44923">
        <w:rPr>
          <w:lang w:val="hr-HR"/>
        </w:rPr>
        <w:t xml:space="preserve">. Ovisno o modifikacijama unutar uzorka, </w:t>
      </w:r>
      <w:r w:rsidR="009B493E" w:rsidRPr="00E44923">
        <w:rPr>
          <w:lang w:val="hr-HR"/>
        </w:rPr>
        <w:t xml:space="preserve">po potrebi će se slučajno odabrati </w:t>
      </w:r>
      <w:r w:rsidRPr="00E44923">
        <w:rPr>
          <w:lang w:val="hr-HR"/>
        </w:rPr>
        <w:t xml:space="preserve">dodatni broj projekata kako se bi </w:t>
      </w:r>
      <w:r w:rsidR="007E4ED4" w:rsidRPr="00E44923">
        <w:rPr>
          <w:lang w:val="hr-HR"/>
        </w:rPr>
        <w:t>se dobila</w:t>
      </w:r>
      <w:r w:rsidRPr="00E44923">
        <w:rPr>
          <w:lang w:val="hr-HR"/>
        </w:rPr>
        <w:t xml:space="preserve"> željen</w:t>
      </w:r>
      <w:r w:rsidR="007E4ED4" w:rsidRPr="00E44923">
        <w:rPr>
          <w:lang w:val="hr-HR"/>
        </w:rPr>
        <w:t>a</w:t>
      </w:r>
      <w:r w:rsidRPr="00E44923">
        <w:rPr>
          <w:lang w:val="hr-HR"/>
        </w:rPr>
        <w:t xml:space="preserve"> veličin</w:t>
      </w:r>
      <w:r w:rsidR="007E4ED4" w:rsidRPr="00E44923">
        <w:rPr>
          <w:lang w:val="hr-HR"/>
        </w:rPr>
        <w:t>a</w:t>
      </w:r>
      <w:r w:rsidRPr="00E44923">
        <w:rPr>
          <w:lang w:val="hr-HR"/>
        </w:rPr>
        <w:t xml:space="preserve"> uzorka </w:t>
      </w:r>
      <w:r w:rsidR="009B493E" w:rsidRPr="00E44923">
        <w:rPr>
          <w:lang w:val="hr-HR"/>
        </w:rPr>
        <w:t xml:space="preserve">od </w:t>
      </w:r>
      <w:r w:rsidRPr="00E44923">
        <w:rPr>
          <w:lang w:val="hr-HR"/>
        </w:rPr>
        <w:t xml:space="preserve">30% svih niskorizičnih projekata.  </w:t>
      </w:r>
    </w:p>
    <w:p w14:paraId="2C73079A" w14:textId="77777777" w:rsidR="00B21D83" w:rsidRPr="00E44923" w:rsidRDefault="00B21D83" w:rsidP="00560A31">
      <w:pPr>
        <w:pStyle w:val="ListParagraph"/>
        <w:spacing w:before="0"/>
        <w:ind w:left="993" w:hanging="588"/>
        <w:rPr>
          <w:lang w:val="hr-HR"/>
        </w:rPr>
      </w:pPr>
    </w:p>
    <w:p w14:paraId="53F75F02" w14:textId="62D11FD7" w:rsidR="00B21D83" w:rsidRPr="00E44923" w:rsidRDefault="007E4ED4" w:rsidP="00560A31">
      <w:pPr>
        <w:pStyle w:val="ListParagraph"/>
        <w:numPr>
          <w:ilvl w:val="0"/>
          <w:numId w:val="28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Ako je visokorizičan ili srednje-rizičan projekt postao niskorizičan, projekt se dodaje popisu niskorizičnih projekata koji podliježu slučajnom odabiru niskorizičnih projekata i </w:t>
      </w:r>
      <w:r w:rsidRPr="00E44923">
        <w:rPr>
          <w:lang w:val="hr-HR"/>
        </w:rPr>
        <w:lastRenderedPageBreak/>
        <w:t xml:space="preserve">dalje može biti odabran unutar </w:t>
      </w:r>
      <w:r w:rsidR="006561A8" w:rsidRPr="00E44923">
        <w:rPr>
          <w:lang w:val="hr-HR"/>
        </w:rPr>
        <w:t xml:space="preserve">uzorka od 30% </w:t>
      </w:r>
      <w:r w:rsidR="00B851BF" w:rsidRPr="00E44923">
        <w:rPr>
          <w:lang w:val="hr-HR"/>
        </w:rPr>
        <w:t>niskorizičnih projekata s</w:t>
      </w:r>
      <w:r w:rsidRPr="00E44923">
        <w:rPr>
          <w:lang w:val="hr-HR"/>
        </w:rPr>
        <w:t>pecifičnog cilja ili pojedinog P</w:t>
      </w:r>
      <w:r w:rsidR="00DD2D27" w:rsidRPr="00E44923">
        <w:rPr>
          <w:lang w:val="hr-HR"/>
        </w:rPr>
        <w:t>DP-a</w:t>
      </w:r>
      <w:r w:rsidRPr="00E44923">
        <w:rPr>
          <w:lang w:val="hr-HR"/>
        </w:rPr>
        <w:t xml:space="preserve">.  </w:t>
      </w:r>
    </w:p>
    <w:p w14:paraId="5404B52E" w14:textId="77777777" w:rsidR="00B21D83" w:rsidRPr="00E44923" w:rsidRDefault="00B21D83" w:rsidP="00560A31">
      <w:pPr>
        <w:spacing w:before="0"/>
        <w:ind w:left="993" w:hanging="633"/>
        <w:rPr>
          <w:lang w:val="hr-HR"/>
        </w:rPr>
      </w:pPr>
    </w:p>
    <w:p w14:paraId="53A77D4D" w14:textId="6C4218F3" w:rsidR="00B21D83" w:rsidRPr="00E44923" w:rsidRDefault="00B7026F" w:rsidP="00560A31">
      <w:pPr>
        <w:pStyle w:val="ListParagraph"/>
        <w:numPr>
          <w:ilvl w:val="0"/>
          <w:numId w:val="28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>Ako je niskorizičan projekt odabran za PLM, a</w:t>
      </w:r>
      <w:r w:rsidR="00AA2303" w:rsidRPr="00E44923">
        <w:rPr>
          <w:lang w:val="hr-HR"/>
        </w:rPr>
        <w:t xml:space="preserve"> </w:t>
      </w:r>
      <w:r w:rsidRPr="00E44923">
        <w:rPr>
          <w:lang w:val="hr-HR"/>
        </w:rPr>
        <w:t xml:space="preserve">isti projekt </w:t>
      </w:r>
      <w:r w:rsidR="00AA2303" w:rsidRPr="00E44923">
        <w:rPr>
          <w:lang w:val="hr-HR"/>
        </w:rPr>
        <w:t xml:space="preserve">je </w:t>
      </w:r>
      <w:r w:rsidRPr="00E44923">
        <w:rPr>
          <w:lang w:val="hr-HR"/>
        </w:rPr>
        <w:t xml:space="preserve">odabran </w:t>
      </w:r>
      <w:r w:rsidR="00AA2303" w:rsidRPr="00E44923">
        <w:rPr>
          <w:lang w:val="hr-HR"/>
        </w:rPr>
        <w:t xml:space="preserve">i </w:t>
      </w:r>
      <w:r w:rsidRPr="00E44923">
        <w:rPr>
          <w:lang w:val="hr-HR"/>
        </w:rPr>
        <w:t xml:space="preserve">za reviziju UT-a ili drugog tijela SUK-a, </w:t>
      </w:r>
      <w:r w:rsidR="00416435" w:rsidRPr="00E44923">
        <w:rPr>
          <w:lang w:val="hr-HR"/>
        </w:rPr>
        <w:t>PT2</w:t>
      </w:r>
      <w:r w:rsidRPr="00E44923">
        <w:rPr>
          <w:lang w:val="hr-HR"/>
        </w:rPr>
        <w:t xml:space="preserve"> taj određeni projekt </w:t>
      </w:r>
      <w:r w:rsidR="00B851BF" w:rsidRPr="00E44923">
        <w:rPr>
          <w:lang w:val="hr-HR"/>
        </w:rPr>
        <w:t>zamjenjuje</w:t>
      </w:r>
      <w:r w:rsidR="00AA2303" w:rsidRPr="00E44923">
        <w:rPr>
          <w:lang w:val="hr-HR"/>
        </w:rPr>
        <w:t xml:space="preserve"> </w:t>
      </w:r>
      <w:r w:rsidRPr="00E44923">
        <w:rPr>
          <w:lang w:val="hr-HR"/>
        </w:rPr>
        <w:t>nekim drugim</w:t>
      </w:r>
      <w:r w:rsidR="00B851BF" w:rsidRPr="00E44923">
        <w:rPr>
          <w:lang w:val="hr-HR"/>
        </w:rPr>
        <w:t>,</w:t>
      </w:r>
      <w:r w:rsidRPr="00E44923">
        <w:rPr>
          <w:lang w:val="hr-HR"/>
        </w:rPr>
        <w:t xml:space="preserve"> s popisa niskorizičnih projekata. </w:t>
      </w:r>
    </w:p>
    <w:p w14:paraId="5B7ED9C6" w14:textId="77777777" w:rsidR="00B21D83" w:rsidRPr="00E44923" w:rsidRDefault="00B21D83" w:rsidP="00560A31">
      <w:pPr>
        <w:pStyle w:val="ListParagraph"/>
        <w:spacing w:before="0"/>
        <w:rPr>
          <w:lang w:val="hr-HR"/>
        </w:rPr>
      </w:pPr>
    </w:p>
    <w:p w14:paraId="2C7562DD" w14:textId="7C7EEEF9" w:rsidR="00B21D83" w:rsidRPr="00E44923" w:rsidRDefault="00B46CB5" w:rsidP="00560A31">
      <w:pPr>
        <w:pStyle w:val="ListParagraph"/>
        <w:numPr>
          <w:ilvl w:val="0"/>
          <w:numId w:val="28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Na temelju ponovne procjene rizičnosti projekata </w:t>
      </w:r>
      <w:r w:rsidR="00B21D83" w:rsidRPr="00E44923">
        <w:rPr>
          <w:lang w:val="hr-HR"/>
        </w:rPr>
        <w:t>(</w:t>
      </w:r>
      <w:r w:rsidRPr="00E44923">
        <w:rPr>
          <w:lang w:val="hr-HR"/>
        </w:rPr>
        <w:t>za projekt</w:t>
      </w:r>
      <w:r w:rsidR="00B851BF" w:rsidRPr="00E44923">
        <w:rPr>
          <w:lang w:val="hr-HR"/>
        </w:rPr>
        <w:t>e s povećanom razinom rizika, s</w:t>
      </w:r>
      <w:r w:rsidRPr="00E44923">
        <w:rPr>
          <w:lang w:val="hr-HR"/>
        </w:rPr>
        <w:t xml:space="preserve"> nisko ili srednje rizičnog na srednje ili visokorizičan projekt</w:t>
      </w:r>
      <w:r w:rsidR="00B21D83" w:rsidRPr="00E44923">
        <w:rPr>
          <w:lang w:val="hr-HR"/>
        </w:rPr>
        <w:t xml:space="preserve">) </w:t>
      </w:r>
      <w:r w:rsidR="00DB514F" w:rsidRPr="00E44923">
        <w:rPr>
          <w:lang w:val="hr-HR"/>
        </w:rPr>
        <w:t>ažurira se</w:t>
      </w:r>
      <w:r w:rsidR="006B6D03" w:rsidRPr="00E44923">
        <w:rPr>
          <w:lang w:val="hr-HR"/>
        </w:rPr>
        <w:t xml:space="preserve"> </w:t>
      </w:r>
      <w:r w:rsidR="00B851BF" w:rsidRPr="00E44923">
        <w:rPr>
          <w:lang w:val="hr-HR"/>
        </w:rPr>
        <w:t>plan</w:t>
      </w:r>
      <w:r w:rsidR="006B6D03" w:rsidRPr="00E44923">
        <w:rPr>
          <w:lang w:val="hr-HR"/>
        </w:rPr>
        <w:t xml:space="preserve"> PLM-ova</w:t>
      </w:r>
      <w:r w:rsidR="00B21D83" w:rsidRPr="00E44923">
        <w:rPr>
          <w:lang w:val="hr-HR"/>
        </w:rPr>
        <w:t>.</w:t>
      </w:r>
    </w:p>
    <w:p w14:paraId="62F5204A" w14:textId="77777777" w:rsidR="000D105D" w:rsidRPr="00E44923" w:rsidRDefault="000D105D" w:rsidP="000D105D">
      <w:pPr>
        <w:spacing w:before="0" w:line="259" w:lineRule="auto"/>
        <w:rPr>
          <w:lang w:val="hr-HR"/>
        </w:rPr>
      </w:pPr>
    </w:p>
    <w:p w14:paraId="6E23062A" w14:textId="3535907F" w:rsidR="00360771" w:rsidRPr="00E44923" w:rsidRDefault="0083299E" w:rsidP="000D105D">
      <w:pPr>
        <w:spacing w:before="0" w:line="259" w:lineRule="auto"/>
        <w:rPr>
          <w:rStyle w:val="hps"/>
          <w:rFonts w:eastAsia="Times New Roman"/>
          <w:lang w:val="hr-HR"/>
        </w:rPr>
      </w:pPr>
      <w:r w:rsidRPr="00E44923">
        <w:rPr>
          <w:rStyle w:val="hps"/>
          <w:lang w:val="hr-HR"/>
        </w:rPr>
        <w:t xml:space="preserve">Pri </w:t>
      </w:r>
      <w:r w:rsidR="00B851BF" w:rsidRPr="00E44923">
        <w:rPr>
          <w:rStyle w:val="hps"/>
          <w:lang w:val="hr-HR"/>
        </w:rPr>
        <w:t>planiranju</w:t>
      </w:r>
      <w:r w:rsidRPr="00E44923">
        <w:rPr>
          <w:rStyle w:val="hps"/>
          <w:lang w:val="hr-HR"/>
        </w:rPr>
        <w:t xml:space="preserve"> PLM-ova</w:t>
      </w:r>
      <w:r w:rsidR="00E064F2" w:rsidRPr="00E44923">
        <w:rPr>
          <w:rStyle w:val="hps"/>
          <w:lang w:val="hr-HR"/>
        </w:rPr>
        <w:t xml:space="preserve">, </w:t>
      </w:r>
      <w:r w:rsidR="00B851BF" w:rsidRPr="00E44923">
        <w:rPr>
          <w:rStyle w:val="hps"/>
          <w:lang w:val="hr-HR"/>
        </w:rPr>
        <w:t>uzimaju se u obzir</w:t>
      </w:r>
      <w:r w:rsidR="00E064F2" w:rsidRPr="00E44923">
        <w:rPr>
          <w:rStyle w:val="hps"/>
          <w:lang w:val="hr-HR"/>
        </w:rPr>
        <w:t xml:space="preserve"> posljed</w:t>
      </w:r>
      <w:r w:rsidR="00B851BF" w:rsidRPr="00E44923">
        <w:rPr>
          <w:rStyle w:val="hps"/>
          <w:lang w:val="hr-HR"/>
        </w:rPr>
        <w:t>nje zaprimljene informacije od k</w:t>
      </w:r>
      <w:r w:rsidR="00E064F2" w:rsidRPr="00E44923">
        <w:rPr>
          <w:rStyle w:val="hps"/>
          <w:lang w:val="hr-HR"/>
        </w:rPr>
        <w:t xml:space="preserve">orisnika o </w:t>
      </w:r>
      <w:r w:rsidR="00B851BF" w:rsidRPr="00E44923">
        <w:rPr>
          <w:rStyle w:val="hps"/>
          <w:lang w:val="hr-HR"/>
        </w:rPr>
        <w:t>planu podnošenja ZNS-a</w:t>
      </w:r>
      <w:r w:rsidR="00E064F2" w:rsidRPr="00E44923">
        <w:rPr>
          <w:rStyle w:val="hps"/>
          <w:lang w:val="hr-HR"/>
        </w:rPr>
        <w:t xml:space="preserve"> kako bi se osiguralo da </w:t>
      </w:r>
      <w:r w:rsidR="00606A99" w:rsidRPr="00E44923">
        <w:rPr>
          <w:rStyle w:val="hps"/>
          <w:lang w:val="hr-HR"/>
        </w:rPr>
        <w:t xml:space="preserve">su </w:t>
      </w:r>
      <w:r w:rsidR="00E064F2" w:rsidRPr="00E44923">
        <w:rPr>
          <w:rStyle w:val="hps"/>
          <w:lang w:val="hr-HR"/>
        </w:rPr>
        <w:t xml:space="preserve">obje vrste provjera (administrativne i </w:t>
      </w:r>
      <w:r w:rsidR="00B851BF" w:rsidRPr="00E44923">
        <w:rPr>
          <w:rStyle w:val="hps"/>
          <w:lang w:val="hr-HR"/>
        </w:rPr>
        <w:t>na licu mjesta</w:t>
      </w:r>
      <w:r w:rsidR="00E064F2" w:rsidRPr="00E44923">
        <w:rPr>
          <w:rStyle w:val="hps"/>
          <w:lang w:val="hr-HR"/>
        </w:rPr>
        <w:t>) usklađene</w:t>
      </w:r>
      <w:r w:rsidR="00B851BF" w:rsidRPr="00E44923">
        <w:rPr>
          <w:rStyle w:val="hps"/>
          <w:lang w:val="hr-HR"/>
        </w:rPr>
        <w:t>.</w:t>
      </w:r>
      <w:r w:rsidR="00E064F2" w:rsidRPr="00E44923">
        <w:rPr>
          <w:rStyle w:val="hps"/>
          <w:lang w:val="hr-HR"/>
        </w:rPr>
        <w:t xml:space="preserve"> </w:t>
      </w:r>
    </w:p>
    <w:p w14:paraId="50B05E56" w14:textId="77777777" w:rsidR="00B21D83" w:rsidRPr="00E44923" w:rsidRDefault="00B21D83" w:rsidP="00560A31">
      <w:pPr>
        <w:spacing w:before="0"/>
        <w:rPr>
          <w:rStyle w:val="hps"/>
          <w:b/>
          <w:lang w:val="hr-HR"/>
        </w:rPr>
      </w:pPr>
    </w:p>
    <w:p w14:paraId="2AF1ED7D" w14:textId="77777777" w:rsidR="000D105D" w:rsidRPr="00E44923" w:rsidRDefault="000D105D" w:rsidP="000D105D">
      <w:pPr>
        <w:spacing w:before="0"/>
        <w:ind w:left="0"/>
        <w:contextualSpacing/>
        <w:rPr>
          <w:rStyle w:val="hps"/>
          <w:b/>
          <w:lang w:val="hr-HR"/>
        </w:rPr>
      </w:pPr>
    </w:p>
    <w:p w14:paraId="778B2BF8" w14:textId="5B1E0D52" w:rsidR="00B21D83" w:rsidRPr="00E44923" w:rsidRDefault="000B1A93" w:rsidP="000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ind w:left="0"/>
        <w:contextualSpacing/>
        <w:rPr>
          <w:rStyle w:val="hps"/>
          <w:lang w:val="hr-HR"/>
        </w:rPr>
      </w:pPr>
      <w:r w:rsidRPr="00E44923">
        <w:rPr>
          <w:rStyle w:val="hps"/>
          <w:b/>
          <w:lang w:val="hr-HR"/>
        </w:rPr>
        <w:t xml:space="preserve">Razvoj </w:t>
      </w:r>
      <w:r w:rsidR="00DD2D27" w:rsidRPr="00E44923">
        <w:rPr>
          <w:rStyle w:val="hps"/>
          <w:b/>
          <w:lang w:val="hr-HR"/>
        </w:rPr>
        <w:t>PLM-ova</w:t>
      </w:r>
      <w:r w:rsidRPr="00E44923">
        <w:rPr>
          <w:rStyle w:val="hps"/>
          <w:b/>
          <w:lang w:val="hr-HR"/>
        </w:rPr>
        <w:t xml:space="preserve"> nakon provedbe – na temelju </w:t>
      </w:r>
      <w:r w:rsidR="006F7993" w:rsidRPr="00E44923">
        <w:rPr>
          <w:rStyle w:val="hps"/>
          <w:b/>
          <w:lang w:val="hr-HR"/>
        </w:rPr>
        <w:t>P</w:t>
      </w:r>
      <w:r w:rsidRPr="00E44923">
        <w:rPr>
          <w:rStyle w:val="hps"/>
          <w:b/>
          <w:lang w:val="hr-HR"/>
        </w:rPr>
        <w:t>rocjene rizi</w:t>
      </w:r>
      <w:r w:rsidR="00DD2D27" w:rsidRPr="00E44923">
        <w:rPr>
          <w:rStyle w:val="hps"/>
          <w:b/>
          <w:lang w:val="hr-HR"/>
        </w:rPr>
        <w:t>čnosti</w:t>
      </w:r>
      <w:r w:rsidRPr="00E44923">
        <w:rPr>
          <w:rStyle w:val="hps"/>
          <w:b/>
          <w:lang w:val="hr-HR"/>
        </w:rPr>
        <w:t xml:space="preserve"> projekta nakon provedbe </w:t>
      </w:r>
    </w:p>
    <w:p w14:paraId="6C57B8E5" w14:textId="77777777" w:rsidR="000B1A93" w:rsidRPr="00E44923" w:rsidRDefault="000B1A93" w:rsidP="000B1A93">
      <w:pPr>
        <w:pStyle w:val="ListParagraph"/>
        <w:spacing w:before="0"/>
        <w:ind w:left="405"/>
        <w:contextualSpacing/>
        <w:rPr>
          <w:rStyle w:val="hps"/>
          <w:lang w:val="hr-HR"/>
        </w:rPr>
      </w:pPr>
    </w:p>
    <w:p w14:paraId="4C614C0E" w14:textId="3F9569F7" w:rsidR="00FA3A56" w:rsidRPr="00E44923" w:rsidRDefault="009C6570" w:rsidP="00560A31">
      <w:pPr>
        <w:spacing w:before="0"/>
        <w:rPr>
          <w:lang w:val="hr-HR"/>
        </w:rPr>
      </w:pPr>
      <w:r w:rsidRPr="00E44923">
        <w:rPr>
          <w:lang w:val="hr-HR"/>
        </w:rPr>
        <w:t>Uzimajući u obzir zahtjeve članka 71. Uredbe (</w:t>
      </w:r>
      <w:r w:rsidR="003E7484">
        <w:rPr>
          <w:lang w:val="hr-HR"/>
        </w:rPr>
        <w:t>EU</w:t>
      </w:r>
      <w:r w:rsidRPr="00E44923">
        <w:rPr>
          <w:lang w:val="hr-HR"/>
        </w:rPr>
        <w:t>) br. 1303/2013</w:t>
      </w:r>
      <w:r w:rsidR="0037644B" w:rsidRPr="00E44923">
        <w:rPr>
          <w:lang w:val="hr-HR"/>
        </w:rPr>
        <w:t>,</w:t>
      </w:r>
      <w:r w:rsidRPr="00E44923">
        <w:rPr>
          <w:lang w:val="hr-HR"/>
        </w:rPr>
        <w:t xml:space="preserve"> </w:t>
      </w:r>
      <w:r w:rsidR="00FA3A56" w:rsidRPr="00E44923">
        <w:rPr>
          <w:lang w:val="hr-HR"/>
        </w:rPr>
        <w:t xml:space="preserve">vezano </w:t>
      </w:r>
      <w:r w:rsidR="0037644B" w:rsidRPr="00E44923">
        <w:rPr>
          <w:lang w:val="hr-HR"/>
        </w:rPr>
        <w:t xml:space="preserve">uz </w:t>
      </w:r>
      <w:r w:rsidRPr="00E44923">
        <w:rPr>
          <w:lang w:val="hr-HR"/>
        </w:rPr>
        <w:t xml:space="preserve">provjere trajnosti projekta, </w:t>
      </w:r>
      <w:r w:rsidR="00416435" w:rsidRPr="00E44923">
        <w:rPr>
          <w:lang w:val="hr-HR"/>
        </w:rPr>
        <w:t>PT2</w:t>
      </w:r>
      <w:r w:rsidRPr="00E44923">
        <w:rPr>
          <w:lang w:val="hr-HR"/>
        </w:rPr>
        <w:t xml:space="preserve"> </w:t>
      </w:r>
      <w:r w:rsidR="0037644B" w:rsidRPr="00E44923">
        <w:rPr>
          <w:lang w:val="hr-HR"/>
        </w:rPr>
        <w:t>provodi</w:t>
      </w:r>
      <w:r w:rsidRPr="00E44923">
        <w:rPr>
          <w:lang w:val="hr-HR"/>
        </w:rPr>
        <w:t xml:space="preserve"> PLM-ove </w:t>
      </w:r>
      <w:r w:rsidR="00FA3A56" w:rsidRPr="00E44923">
        <w:rPr>
          <w:lang w:val="hr-HR"/>
        </w:rPr>
        <w:t xml:space="preserve">tijekom </w:t>
      </w:r>
      <w:r w:rsidR="0037644B" w:rsidRPr="00E44923">
        <w:rPr>
          <w:lang w:val="hr-HR"/>
        </w:rPr>
        <w:t>utvrđenog razdoblja trajnosti</w:t>
      </w:r>
      <w:r w:rsidR="00FA3A56" w:rsidRPr="00E44923">
        <w:rPr>
          <w:lang w:val="hr-HR"/>
        </w:rPr>
        <w:t xml:space="preserve"> projekta</w:t>
      </w:r>
      <w:r w:rsidR="0037644B" w:rsidRPr="00E44923">
        <w:rPr>
          <w:lang w:val="hr-HR"/>
        </w:rPr>
        <w:t>,</w:t>
      </w:r>
      <w:r w:rsidR="00FA3A56" w:rsidRPr="00E44923">
        <w:rPr>
          <w:lang w:val="hr-HR"/>
        </w:rPr>
        <w:t xml:space="preserve"> nakon isplate Korisniku po završnom ZNS-u. </w:t>
      </w:r>
    </w:p>
    <w:p w14:paraId="1EE1B6BD" w14:textId="77777777" w:rsidR="00B21D83" w:rsidRPr="00E44923" w:rsidRDefault="00B21D83" w:rsidP="00560A31">
      <w:pPr>
        <w:spacing w:before="0"/>
        <w:rPr>
          <w:rStyle w:val="hps"/>
          <w:lang w:val="hr-HR"/>
        </w:rPr>
      </w:pPr>
    </w:p>
    <w:p w14:paraId="542C2A5B" w14:textId="2BA52239" w:rsidR="00B21D83" w:rsidRPr="00E44923" w:rsidRDefault="009C1694" w:rsidP="00560A31">
      <w:pPr>
        <w:spacing w:before="0"/>
        <w:rPr>
          <w:rStyle w:val="hps"/>
          <w:lang w:val="hr-HR"/>
        </w:rPr>
      </w:pPr>
      <w:r w:rsidRPr="00E44923">
        <w:rPr>
          <w:rStyle w:val="hps"/>
          <w:lang w:val="hr-HR"/>
        </w:rPr>
        <w:t>Na temelju utvrđenog stupnja rizi</w:t>
      </w:r>
      <w:r w:rsidR="0034571A" w:rsidRPr="00E44923">
        <w:rPr>
          <w:rStyle w:val="hps"/>
          <w:lang w:val="hr-HR"/>
        </w:rPr>
        <w:t>ka</w:t>
      </w:r>
      <w:r w:rsidRPr="00E44923">
        <w:rPr>
          <w:rStyle w:val="hps"/>
          <w:lang w:val="hr-HR"/>
        </w:rPr>
        <w:t xml:space="preserve"> projekta, </w:t>
      </w:r>
      <w:r w:rsidR="00416435" w:rsidRPr="00E44923">
        <w:rPr>
          <w:rStyle w:val="hps"/>
          <w:lang w:val="hr-HR"/>
        </w:rPr>
        <w:t>PT2</w:t>
      </w:r>
      <w:r w:rsidRPr="00E44923">
        <w:rPr>
          <w:rStyle w:val="hps"/>
          <w:lang w:val="hr-HR"/>
        </w:rPr>
        <w:t xml:space="preserve"> planira učestalost </w:t>
      </w:r>
      <w:r w:rsidR="0096784B" w:rsidRPr="00E44923">
        <w:rPr>
          <w:rStyle w:val="hps"/>
          <w:lang w:val="hr-HR"/>
        </w:rPr>
        <w:t xml:space="preserve">PLM-ova </w:t>
      </w:r>
      <w:r w:rsidRPr="00E44923">
        <w:rPr>
          <w:rStyle w:val="hps"/>
          <w:lang w:val="hr-HR"/>
        </w:rPr>
        <w:t xml:space="preserve">nakon </w:t>
      </w:r>
      <w:r w:rsidR="0096784B" w:rsidRPr="00E44923">
        <w:rPr>
          <w:rStyle w:val="hps"/>
          <w:lang w:val="hr-HR"/>
        </w:rPr>
        <w:t>dovršetka razdoblja provedbe,</w:t>
      </w:r>
      <w:r w:rsidRPr="00E44923">
        <w:rPr>
          <w:rStyle w:val="hps"/>
          <w:lang w:val="hr-HR"/>
        </w:rPr>
        <w:t xml:space="preserve"> </w:t>
      </w:r>
      <w:r w:rsidRPr="00E44923">
        <w:rPr>
          <w:rStyle w:val="hps"/>
          <w:b/>
          <w:lang w:val="hr-HR"/>
        </w:rPr>
        <w:t>tijekom razdoblja trajnosti projekta:</w:t>
      </w:r>
      <w:r w:rsidRPr="00E44923">
        <w:rPr>
          <w:rStyle w:val="hps"/>
          <w:lang w:val="hr-HR"/>
        </w:rPr>
        <w:t xml:space="preserve">  </w:t>
      </w:r>
    </w:p>
    <w:p w14:paraId="3D61B9A7" w14:textId="77777777" w:rsidR="00B21D83" w:rsidRPr="00E44923" w:rsidRDefault="00B21D83" w:rsidP="00560A31">
      <w:pPr>
        <w:spacing w:before="0"/>
        <w:rPr>
          <w:rStyle w:val="hps"/>
          <w:lang w:val="hr-HR"/>
        </w:rPr>
      </w:pPr>
      <w:r w:rsidRPr="00E44923">
        <w:rPr>
          <w:lang w:val="hr-HR"/>
        </w:rPr>
        <w:t xml:space="preserve"> </w:t>
      </w:r>
    </w:p>
    <w:p w14:paraId="691C1847" w14:textId="2AC5413C" w:rsidR="00B21D83" w:rsidRPr="00E44923" w:rsidRDefault="00BE12E6" w:rsidP="00B413F2">
      <w:pPr>
        <w:spacing w:before="0"/>
        <w:ind w:firstLine="675"/>
        <w:contextualSpacing/>
        <w:rPr>
          <w:lang w:val="hr-HR"/>
        </w:rPr>
      </w:pPr>
      <w:r w:rsidRPr="00E44923">
        <w:rPr>
          <w:rStyle w:val="hps"/>
          <w:b/>
          <w:lang w:val="hr-HR"/>
        </w:rPr>
        <w:t>Za visokorizične projekte</w:t>
      </w:r>
      <w:r w:rsidR="00B21D83" w:rsidRPr="00E44923">
        <w:rPr>
          <w:lang w:val="hr-HR"/>
        </w:rPr>
        <w:t xml:space="preserve"> </w:t>
      </w:r>
      <w:r w:rsidRPr="00E44923">
        <w:rPr>
          <w:rStyle w:val="hps"/>
          <w:lang w:val="hr-HR"/>
        </w:rPr>
        <w:t>–</w:t>
      </w:r>
      <w:r w:rsidR="00B21D83" w:rsidRPr="00E44923">
        <w:rPr>
          <w:lang w:val="hr-HR"/>
        </w:rPr>
        <w:t xml:space="preserve"> </w:t>
      </w:r>
      <w:r w:rsidRPr="00E44923">
        <w:rPr>
          <w:rStyle w:val="hps"/>
          <w:lang w:val="hr-HR"/>
        </w:rPr>
        <w:t xml:space="preserve">barem jednom </w:t>
      </w:r>
      <w:r w:rsidR="00C532DC" w:rsidRPr="00E44923">
        <w:rPr>
          <w:rStyle w:val="hps"/>
          <w:lang w:val="hr-HR"/>
        </w:rPr>
        <w:t xml:space="preserve">tijekom </w:t>
      </w:r>
      <w:r w:rsidRPr="00E44923">
        <w:rPr>
          <w:rStyle w:val="hps"/>
          <w:lang w:val="hr-HR"/>
        </w:rPr>
        <w:t>razdoblja trajnosti</w:t>
      </w:r>
      <w:r w:rsidR="00C532DC" w:rsidRPr="00E44923">
        <w:rPr>
          <w:rStyle w:val="hps"/>
          <w:lang w:val="hr-HR"/>
        </w:rPr>
        <w:t xml:space="preserve"> projekta</w:t>
      </w:r>
      <w:r w:rsidR="00B21D83" w:rsidRPr="00E44923">
        <w:rPr>
          <w:lang w:val="hr-HR"/>
        </w:rPr>
        <w:t>;</w:t>
      </w:r>
    </w:p>
    <w:p w14:paraId="75DC491C" w14:textId="77777777" w:rsidR="00B21D83" w:rsidRPr="00E44923" w:rsidRDefault="00B21D83" w:rsidP="00560A31">
      <w:pPr>
        <w:spacing w:before="0"/>
        <w:ind w:left="720"/>
        <w:rPr>
          <w:lang w:val="hr-HR"/>
        </w:rPr>
      </w:pPr>
    </w:p>
    <w:p w14:paraId="3EE81120" w14:textId="71645F0F" w:rsidR="00916096" w:rsidRPr="00E44923" w:rsidRDefault="00BE12E6" w:rsidP="00916096">
      <w:pPr>
        <w:pStyle w:val="ListParagraph"/>
        <w:spacing w:before="0"/>
        <w:ind w:left="720"/>
        <w:contextualSpacing/>
        <w:rPr>
          <w:lang w:val="hr-HR"/>
        </w:rPr>
      </w:pPr>
      <w:r w:rsidRPr="00E44923">
        <w:rPr>
          <w:rStyle w:val="hps"/>
          <w:b/>
          <w:lang w:val="hr-HR"/>
        </w:rPr>
        <w:t>Za srednje-rizične projekte</w:t>
      </w:r>
      <w:r w:rsidR="00B21D83" w:rsidRPr="00E44923">
        <w:rPr>
          <w:lang w:val="hr-HR"/>
        </w:rPr>
        <w:t xml:space="preserve"> </w:t>
      </w:r>
      <w:r w:rsidRPr="00E44923">
        <w:rPr>
          <w:rStyle w:val="hps"/>
          <w:lang w:val="hr-HR"/>
        </w:rPr>
        <w:t>–</w:t>
      </w:r>
      <w:r w:rsidR="00B21D83" w:rsidRPr="00E44923">
        <w:rPr>
          <w:lang w:val="hr-HR"/>
        </w:rPr>
        <w:t xml:space="preserve"> </w:t>
      </w:r>
      <w:r w:rsidR="006472F9" w:rsidRPr="00E44923">
        <w:rPr>
          <w:lang w:val="hr-HR"/>
        </w:rPr>
        <w:t xml:space="preserve"> može se provoditi </w:t>
      </w:r>
      <w:r w:rsidRPr="00E44923">
        <w:rPr>
          <w:lang w:val="hr-HR"/>
        </w:rPr>
        <w:t xml:space="preserve">na temelju </w:t>
      </w:r>
      <w:r w:rsidR="006472F9" w:rsidRPr="00E44923">
        <w:rPr>
          <w:lang w:val="hr-HR"/>
        </w:rPr>
        <w:t>nasumičnog</w:t>
      </w:r>
      <w:r w:rsidR="00C532DC" w:rsidRPr="00E44923">
        <w:rPr>
          <w:lang w:val="hr-HR"/>
        </w:rPr>
        <w:t xml:space="preserve"> </w:t>
      </w:r>
      <w:r w:rsidRPr="00E44923">
        <w:rPr>
          <w:lang w:val="hr-HR"/>
        </w:rPr>
        <w:t xml:space="preserve">uzorka </w:t>
      </w:r>
      <w:r w:rsidR="00C532DC" w:rsidRPr="00E44923">
        <w:rPr>
          <w:lang w:val="hr-HR"/>
        </w:rPr>
        <w:t>od minimalno 30% srednje-ri</w:t>
      </w:r>
      <w:r w:rsidR="0096784B" w:rsidRPr="00E44923">
        <w:rPr>
          <w:lang w:val="hr-HR"/>
        </w:rPr>
        <w:t>zičnih projekata unutar svakog s</w:t>
      </w:r>
      <w:r w:rsidR="00C532DC" w:rsidRPr="00E44923">
        <w:rPr>
          <w:lang w:val="hr-HR"/>
        </w:rPr>
        <w:t>pecifičnog cilja ili P</w:t>
      </w:r>
      <w:r w:rsidR="00DD2D27" w:rsidRPr="00E44923">
        <w:rPr>
          <w:lang w:val="hr-HR"/>
        </w:rPr>
        <w:t>DP-a</w:t>
      </w:r>
      <w:r w:rsidR="00916096" w:rsidRPr="00E44923">
        <w:rPr>
          <w:lang w:val="hr-HR"/>
        </w:rPr>
        <w:t>, a navedeni uzorak može se primijeniti i u slučajevima velikog broja malih operacija, kada administrativne provjere mogu osigurati visoku razinu jamstva.</w:t>
      </w:r>
    </w:p>
    <w:p w14:paraId="5621CC79" w14:textId="77777777" w:rsidR="00275C8B" w:rsidRPr="00E44923" w:rsidRDefault="00275C8B" w:rsidP="00275C8B">
      <w:pPr>
        <w:pStyle w:val="ListParagraph"/>
        <w:spacing w:before="0"/>
        <w:ind w:left="720"/>
        <w:contextualSpacing/>
        <w:rPr>
          <w:rStyle w:val="hps"/>
          <w:b/>
          <w:lang w:val="hr-HR"/>
        </w:rPr>
      </w:pPr>
    </w:p>
    <w:p w14:paraId="5D547900" w14:textId="067E272D" w:rsidR="00275C8B" w:rsidRPr="00E44923" w:rsidRDefault="00275C8B" w:rsidP="00275C8B">
      <w:pPr>
        <w:pStyle w:val="ListParagraph"/>
        <w:spacing w:before="0"/>
        <w:ind w:left="720"/>
        <w:contextualSpacing/>
        <w:rPr>
          <w:lang w:val="hr-HR"/>
        </w:rPr>
      </w:pPr>
      <w:r w:rsidRPr="00E44923">
        <w:rPr>
          <w:rStyle w:val="hps"/>
          <w:b/>
          <w:lang w:val="hr-HR"/>
        </w:rPr>
        <w:t>Za nisko-rizične projekte</w:t>
      </w:r>
      <w:r w:rsidRPr="00E44923">
        <w:rPr>
          <w:lang w:val="hr-HR"/>
        </w:rPr>
        <w:t xml:space="preserve"> </w:t>
      </w:r>
      <w:r w:rsidRPr="00E44923">
        <w:rPr>
          <w:rStyle w:val="hps"/>
          <w:lang w:val="hr-HR"/>
        </w:rPr>
        <w:t>–</w:t>
      </w:r>
      <w:r w:rsidRPr="00E44923">
        <w:rPr>
          <w:lang w:val="hr-HR"/>
        </w:rPr>
        <w:t xml:space="preserve">  može se provoditi na temelju nasumičnog uzorka od minimalno 30% nisko-rizičnih projekata unutar svakog specifičnog cilja ili PDP-a, a navedeni uzorak može se primijeniti i u slučajevima velikog broja malih operacija, kada administrativne provjere mogu osigurati visoku razinu jamstva.</w:t>
      </w:r>
    </w:p>
    <w:p w14:paraId="20B4CECB" w14:textId="77777777" w:rsidR="00B21D83" w:rsidRPr="00E44923" w:rsidRDefault="00B21D83" w:rsidP="00560A31">
      <w:pPr>
        <w:spacing w:before="0"/>
        <w:rPr>
          <w:lang w:val="hr-HR"/>
        </w:rPr>
      </w:pPr>
    </w:p>
    <w:p w14:paraId="536E0C39" w14:textId="735B5CDA" w:rsidR="00B21D83" w:rsidRPr="00E44923" w:rsidRDefault="00CD0B72" w:rsidP="00560A31">
      <w:pPr>
        <w:spacing w:before="0"/>
        <w:rPr>
          <w:lang w:val="hr-HR"/>
        </w:rPr>
      </w:pPr>
      <w:r w:rsidRPr="00E44923">
        <w:rPr>
          <w:lang w:val="hr-HR"/>
        </w:rPr>
        <w:t>Prilikom planiranja PLM-ova nakon provedbe projekta preporuča se sljedeće</w:t>
      </w:r>
      <w:r w:rsidR="00B21D83" w:rsidRPr="00E44923">
        <w:rPr>
          <w:lang w:val="hr-HR"/>
        </w:rPr>
        <w:t>:</w:t>
      </w:r>
    </w:p>
    <w:p w14:paraId="3FD7D5AD" w14:textId="77777777" w:rsidR="00B21D83" w:rsidRPr="00E44923" w:rsidRDefault="00B21D83" w:rsidP="00560A31">
      <w:pPr>
        <w:spacing w:before="0"/>
        <w:rPr>
          <w:lang w:val="hr-HR"/>
        </w:rPr>
      </w:pPr>
    </w:p>
    <w:p w14:paraId="562D280F" w14:textId="40E683DF" w:rsidR="00B21D83" w:rsidRPr="00E44923" w:rsidRDefault="006A6A45" w:rsidP="00560A31">
      <w:pPr>
        <w:pStyle w:val="ListParagraph"/>
        <w:numPr>
          <w:ilvl w:val="0"/>
          <w:numId w:val="29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 xml:space="preserve">Cilj PLM-ova nakon provedbe projekta nije samo </w:t>
      </w:r>
      <w:r w:rsidR="0096784B" w:rsidRPr="00E44923">
        <w:rPr>
          <w:lang w:val="hr-HR"/>
        </w:rPr>
        <w:t xml:space="preserve">otkriti nedostatke vezano uz zahtjeve trajnosti, </w:t>
      </w:r>
      <w:r w:rsidRPr="00E44923">
        <w:rPr>
          <w:lang w:val="hr-HR"/>
        </w:rPr>
        <w:t xml:space="preserve">već </w:t>
      </w:r>
      <w:r w:rsidR="0096784B" w:rsidRPr="00E44923">
        <w:rPr>
          <w:lang w:val="hr-HR"/>
        </w:rPr>
        <w:t>provesti i</w:t>
      </w:r>
      <w:r w:rsidRPr="00E44923">
        <w:rPr>
          <w:lang w:val="hr-HR"/>
        </w:rPr>
        <w:t xml:space="preserve"> korektivne mjere u ranoj fazi </w:t>
      </w:r>
      <w:r w:rsidR="0096784B" w:rsidRPr="00E44923">
        <w:rPr>
          <w:lang w:val="hr-HR"/>
        </w:rPr>
        <w:t>razdoblja</w:t>
      </w:r>
      <w:r w:rsidRPr="00E44923">
        <w:rPr>
          <w:lang w:val="hr-HR"/>
        </w:rPr>
        <w:t xml:space="preserve"> trajnosti. Ipak, preporuča se PLM nakon </w:t>
      </w:r>
      <w:r w:rsidR="0096784B" w:rsidRPr="00E44923">
        <w:rPr>
          <w:lang w:val="hr-HR"/>
        </w:rPr>
        <w:t xml:space="preserve">razdoblja </w:t>
      </w:r>
      <w:r w:rsidRPr="00E44923">
        <w:rPr>
          <w:lang w:val="hr-HR"/>
        </w:rPr>
        <w:t>provedbe projekta</w:t>
      </w:r>
      <w:r w:rsidR="0096784B" w:rsidRPr="00E44923">
        <w:rPr>
          <w:lang w:val="hr-HR"/>
        </w:rPr>
        <w:t xml:space="preserve"> provesti ne prije</w:t>
      </w:r>
      <w:r w:rsidRPr="00E44923">
        <w:rPr>
          <w:lang w:val="hr-HR"/>
        </w:rPr>
        <w:t xml:space="preserve"> </w:t>
      </w:r>
      <w:r w:rsidR="0096784B" w:rsidRPr="00E44923">
        <w:rPr>
          <w:lang w:val="hr-HR"/>
        </w:rPr>
        <w:t>druge godine navedenog razdoblja</w:t>
      </w:r>
      <w:r w:rsidR="00B21D83" w:rsidRPr="00E44923">
        <w:rPr>
          <w:lang w:val="hr-HR"/>
        </w:rPr>
        <w:t>;</w:t>
      </w:r>
    </w:p>
    <w:p w14:paraId="1D66BBF7" w14:textId="34FE5DCC" w:rsidR="00B21D83" w:rsidRPr="00E44923" w:rsidRDefault="0096784B" w:rsidP="00560A31">
      <w:pPr>
        <w:pStyle w:val="ListParagraph"/>
        <w:numPr>
          <w:ilvl w:val="0"/>
          <w:numId w:val="29"/>
        </w:numPr>
        <w:spacing w:before="0"/>
        <w:contextualSpacing/>
        <w:rPr>
          <w:lang w:val="hr-HR"/>
        </w:rPr>
      </w:pPr>
      <w:r w:rsidRPr="00E44923">
        <w:rPr>
          <w:lang w:val="hr-HR"/>
        </w:rPr>
        <w:t>Ako</w:t>
      </w:r>
      <w:r w:rsidR="006A6A45" w:rsidRPr="00E44923">
        <w:rPr>
          <w:lang w:val="hr-HR"/>
        </w:rPr>
        <w:t xml:space="preserve"> je </w:t>
      </w:r>
      <w:r w:rsidR="00416435" w:rsidRPr="00E44923">
        <w:rPr>
          <w:lang w:val="hr-HR"/>
        </w:rPr>
        <w:t>PT2</w:t>
      </w:r>
      <w:r w:rsidR="006A6A45" w:rsidRPr="00E44923">
        <w:rPr>
          <w:lang w:val="hr-HR"/>
        </w:rPr>
        <w:t xml:space="preserve"> utvrdio značajne probleme tijekom prve godine perioda trajnosti, PLM nakon </w:t>
      </w:r>
      <w:r w:rsidRPr="00E44923">
        <w:rPr>
          <w:lang w:val="hr-HR"/>
        </w:rPr>
        <w:t xml:space="preserve">dovršetka </w:t>
      </w:r>
      <w:r w:rsidR="006A6A45" w:rsidRPr="00E44923">
        <w:rPr>
          <w:lang w:val="hr-HR"/>
        </w:rPr>
        <w:t>provedbe</w:t>
      </w:r>
      <w:r w:rsidRPr="00E44923">
        <w:rPr>
          <w:lang w:val="hr-HR"/>
        </w:rPr>
        <w:t xml:space="preserve"> projekta</w:t>
      </w:r>
      <w:r w:rsidR="006A6A45" w:rsidRPr="00E44923">
        <w:rPr>
          <w:lang w:val="hr-HR"/>
        </w:rPr>
        <w:t xml:space="preserve"> može se provesti i ranije od planiranog</w:t>
      </w:r>
      <w:r w:rsidRPr="00E44923">
        <w:rPr>
          <w:lang w:val="hr-HR"/>
        </w:rPr>
        <w:t>;</w:t>
      </w:r>
    </w:p>
    <w:p w14:paraId="0945B785" w14:textId="4875B1C5" w:rsidR="00B21D83" w:rsidRPr="00E44923" w:rsidRDefault="004B5D96" w:rsidP="00560A31">
      <w:pPr>
        <w:pStyle w:val="ListParagraph"/>
        <w:numPr>
          <w:ilvl w:val="0"/>
          <w:numId w:val="29"/>
        </w:numPr>
        <w:spacing w:before="0"/>
        <w:contextualSpacing/>
        <w:rPr>
          <w:lang w:val="hr-HR"/>
        </w:rPr>
      </w:pPr>
      <w:r w:rsidRPr="00E44923">
        <w:rPr>
          <w:i/>
          <w:lang w:val="hr-HR"/>
        </w:rPr>
        <w:lastRenderedPageBreak/>
        <w:t xml:space="preserve"> </w:t>
      </w:r>
      <w:r w:rsidR="00B21D83" w:rsidRPr="00E44923">
        <w:rPr>
          <w:i/>
          <w:lang w:val="hr-HR"/>
        </w:rPr>
        <w:t>ad hoc</w:t>
      </w:r>
      <w:r w:rsidR="00B21D83" w:rsidRPr="00E44923">
        <w:rPr>
          <w:lang w:val="hr-HR"/>
        </w:rPr>
        <w:t xml:space="preserve"> </w:t>
      </w:r>
      <w:r w:rsidR="006A6A45" w:rsidRPr="00E44923">
        <w:rPr>
          <w:lang w:val="hr-HR"/>
        </w:rPr>
        <w:t xml:space="preserve">PLM nakon </w:t>
      </w:r>
      <w:r w:rsidR="0096784B" w:rsidRPr="00E44923">
        <w:rPr>
          <w:lang w:val="hr-HR"/>
        </w:rPr>
        <w:t xml:space="preserve">dovršetka </w:t>
      </w:r>
      <w:r w:rsidR="006A6A45" w:rsidRPr="00E44923">
        <w:rPr>
          <w:lang w:val="hr-HR"/>
        </w:rPr>
        <w:t xml:space="preserve">provedbe projekta može se provesti odmah nakon </w:t>
      </w:r>
      <w:r w:rsidR="00187AEE" w:rsidRPr="00E44923">
        <w:rPr>
          <w:lang w:val="hr-HR"/>
        </w:rPr>
        <w:t xml:space="preserve">što </w:t>
      </w:r>
      <w:r w:rsidR="00416435" w:rsidRPr="00E44923">
        <w:rPr>
          <w:lang w:val="hr-HR"/>
        </w:rPr>
        <w:t>PT2</w:t>
      </w:r>
      <w:r w:rsidR="00187AEE" w:rsidRPr="00E44923">
        <w:rPr>
          <w:lang w:val="hr-HR"/>
        </w:rPr>
        <w:t xml:space="preserve"> </w:t>
      </w:r>
      <w:r w:rsidR="004A3EFA" w:rsidRPr="00E44923">
        <w:rPr>
          <w:lang w:val="hr-HR"/>
        </w:rPr>
        <w:t>za</w:t>
      </w:r>
      <w:r w:rsidR="00187AEE" w:rsidRPr="00E44923">
        <w:rPr>
          <w:lang w:val="hr-HR"/>
        </w:rPr>
        <w:t xml:space="preserve">primi informacije o </w:t>
      </w:r>
      <w:r w:rsidR="0096784B" w:rsidRPr="00E44923">
        <w:rPr>
          <w:lang w:val="hr-HR"/>
        </w:rPr>
        <w:t xml:space="preserve">odstupanjima od zahtijeva </w:t>
      </w:r>
      <w:r w:rsidR="00187AEE" w:rsidRPr="00E44923">
        <w:rPr>
          <w:lang w:val="hr-HR"/>
        </w:rPr>
        <w:t>ugovor</w:t>
      </w:r>
      <w:r w:rsidR="0096784B" w:rsidRPr="00E44923">
        <w:rPr>
          <w:lang w:val="hr-HR"/>
        </w:rPr>
        <w:t>a</w:t>
      </w:r>
      <w:r w:rsidR="00187AEE" w:rsidRPr="00E44923">
        <w:rPr>
          <w:lang w:val="hr-HR"/>
        </w:rPr>
        <w:t xml:space="preserve"> o</w:t>
      </w:r>
      <w:r w:rsidR="0096784B" w:rsidRPr="00E44923">
        <w:rPr>
          <w:lang w:val="hr-HR"/>
        </w:rPr>
        <w:t xml:space="preserve"> dodjeli</w:t>
      </w:r>
      <w:r w:rsidR="00187AEE" w:rsidRPr="00E44923">
        <w:rPr>
          <w:lang w:val="hr-HR"/>
        </w:rPr>
        <w:t xml:space="preserve"> </w:t>
      </w:r>
      <w:r w:rsidR="008F3017" w:rsidRPr="00E44923">
        <w:rPr>
          <w:lang w:val="hr-HR"/>
        </w:rPr>
        <w:t>bespovratni</w:t>
      </w:r>
      <w:r w:rsidR="0096784B" w:rsidRPr="00E44923">
        <w:rPr>
          <w:lang w:val="hr-HR"/>
        </w:rPr>
        <w:t>h</w:t>
      </w:r>
      <w:r w:rsidR="008F3017" w:rsidRPr="00E44923">
        <w:rPr>
          <w:lang w:val="hr-HR"/>
        </w:rPr>
        <w:t xml:space="preserve"> sredst</w:t>
      </w:r>
      <w:r w:rsidR="0096784B" w:rsidRPr="00E44923">
        <w:rPr>
          <w:lang w:val="hr-HR"/>
        </w:rPr>
        <w:t>ava</w:t>
      </w:r>
      <w:r w:rsidR="004A3EFA" w:rsidRPr="00E44923">
        <w:rPr>
          <w:lang w:val="hr-HR"/>
        </w:rPr>
        <w:t xml:space="preserve"> ili </w:t>
      </w:r>
      <w:r w:rsidR="008F3017" w:rsidRPr="00E44923">
        <w:rPr>
          <w:lang w:val="hr-HR"/>
        </w:rPr>
        <w:t>neostvarivanj</w:t>
      </w:r>
      <w:r w:rsidR="004A3EFA" w:rsidRPr="00E44923">
        <w:rPr>
          <w:lang w:val="hr-HR"/>
        </w:rPr>
        <w:t>u</w:t>
      </w:r>
      <w:r w:rsidR="008F3017" w:rsidRPr="00E44923">
        <w:rPr>
          <w:lang w:val="hr-HR"/>
        </w:rPr>
        <w:t xml:space="preserve"> planiranih pokazatelja tijekom </w:t>
      </w:r>
      <w:r w:rsidR="0096784B" w:rsidRPr="00E44923">
        <w:rPr>
          <w:lang w:val="hr-HR"/>
        </w:rPr>
        <w:t>razdoblja</w:t>
      </w:r>
      <w:r w:rsidR="003E530B" w:rsidRPr="00E44923">
        <w:rPr>
          <w:lang w:val="hr-HR"/>
        </w:rPr>
        <w:t xml:space="preserve"> </w:t>
      </w:r>
      <w:r w:rsidR="008F3017" w:rsidRPr="00E44923">
        <w:rPr>
          <w:lang w:val="hr-HR"/>
        </w:rPr>
        <w:t xml:space="preserve">trajnosti ili </w:t>
      </w:r>
      <w:r w:rsidR="0096784B" w:rsidRPr="00E44923">
        <w:rPr>
          <w:lang w:val="hr-HR"/>
        </w:rPr>
        <w:t xml:space="preserve">o bilo kojem drugom pokazatelju koji utječu na </w:t>
      </w:r>
      <w:r w:rsidR="002E5FE0" w:rsidRPr="00E44923">
        <w:rPr>
          <w:lang w:val="hr-HR"/>
        </w:rPr>
        <w:t xml:space="preserve">trajnost </w:t>
      </w:r>
      <w:r w:rsidR="0096784B" w:rsidRPr="00E44923">
        <w:rPr>
          <w:lang w:val="hr-HR"/>
        </w:rPr>
        <w:t>projektnih rezultata</w:t>
      </w:r>
      <w:r w:rsidR="008F3017" w:rsidRPr="00E44923">
        <w:rPr>
          <w:lang w:val="hr-HR"/>
        </w:rPr>
        <w:t xml:space="preserve">. </w:t>
      </w:r>
      <w:r w:rsidR="00B21D83" w:rsidRPr="00E44923">
        <w:rPr>
          <w:lang w:val="hr-HR"/>
        </w:rPr>
        <w:t xml:space="preserve">   </w:t>
      </w:r>
    </w:p>
    <w:p w14:paraId="529E130D" w14:textId="77777777" w:rsidR="00B21D83" w:rsidRPr="00E44923" w:rsidRDefault="00B21D83" w:rsidP="00560A31">
      <w:pPr>
        <w:spacing w:before="0"/>
        <w:ind w:left="360"/>
        <w:rPr>
          <w:lang w:val="hr-HR"/>
        </w:rPr>
      </w:pPr>
    </w:p>
    <w:p w14:paraId="154DBA3C" w14:textId="77777777" w:rsidR="00B21D83" w:rsidRPr="00E44923" w:rsidRDefault="00B21D83" w:rsidP="00560A31">
      <w:pPr>
        <w:spacing w:before="0"/>
        <w:ind w:left="360"/>
        <w:rPr>
          <w:lang w:val="hr-HR"/>
        </w:rPr>
      </w:pPr>
    </w:p>
    <w:p w14:paraId="62E6CB55" w14:textId="77777777" w:rsidR="004D10B0" w:rsidRPr="00E44923" w:rsidRDefault="004D10B0" w:rsidP="00560A31">
      <w:pPr>
        <w:spacing w:before="0"/>
        <w:ind w:left="360"/>
        <w:rPr>
          <w:lang w:val="hr-HR"/>
        </w:rPr>
      </w:pPr>
    </w:p>
    <w:p w14:paraId="61EE4179" w14:textId="3B98E049" w:rsidR="00B21D83" w:rsidRPr="00E44923" w:rsidRDefault="00853AB4" w:rsidP="000D105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/>
        <w:ind w:left="0"/>
        <w:contextualSpacing/>
        <w:rPr>
          <w:rFonts w:eastAsia="Times New Roman"/>
          <w:b/>
          <w:lang w:val="hr-HR" w:eastAsia="lv-LV"/>
        </w:rPr>
      </w:pPr>
      <w:r w:rsidRPr="00E44923">
        <w:rPr>
          <w:rFonts w:eastAsia="Times New Roman"/>
          <w:b/>
          <w:lang w:val="hr-HR" w:eastAsia="lv-LV"/>
        </w:rPr>
        <w:t>Veliki projekti</w:t>
      </w:r>
    </w:p>
    <w:p w14:paraId="0C52A935" w14:textId="77777777" w:rsidR="00B21D83" w:rsidRPr="00E44923" w:rsidRDefault="00B21D83" w:rsidP="00560A31">
      <w:pPr>
        <w:pStyle w:val="Default"/>
        <w:spacing w:before="0"/>
        <w:rPr>
          <w:color w:val="auto"/>
          <w:lang w:val="hr-HR"/>
        </w:rPr>
      </w:pPr>
    </w:p>
    <w:p w14:paraId="5A321F75" w14:textId="207FD10E" w:rsidR="00B21D83" w:rsidRPr="00E44923" w:rsidRDefault="00853AB4" w:rsidP="00560A31">
      <w:pPr>
        <w:spacing w:before="0"/>
        <w:rPr>
          <w:lang w:val="hr-HR"/>
        </w:rPr>
      </w:pPr>
      <w:r w:rsidRPr="00E44923">
        <w:rPr>
          <w:lang w:val="hr-HR"/>
        </w:rPr>
        <w:t xml:space="preserve">Veliki projekti </w:t>
      </w:r>
      <w:r w:rsidR="00B21D83" w:rsidRPr="00E44923">
        <w:rPr>
          <w:lang w:val="hr-HR"/>
        </w:rPr>
        <w:t>(</w:t>
      </w:r>
      <w:r w:rsidR="00F212C3" w:rsidRPr="00E44923">
        <w:rPr>
          <w:lang w:val="hr-HR"/>
        </w:rPr>
        <w:t>projekt</w:t>
      </w:r>
      <w:r w:rsidRPr="00E44923">
        <w:rPr>
          <w:lang w:val="hr-HR"/>
        </w:rPr>
        <w:t>i</w:t>
      </w:r>
      <w:r w:rsidR="00F212C3" w:rsidRPr="00E44923">
        <w:rPr>
          <w:lang w:val="hr-HR"/>
        </w:rPr>
        <w:t xml:space="preserve"> u skladu s člankom </w:t>
      </w:r>
      <w:r w:rsidR="00B21D83" w:rsidRPr="00E44923">
        <w:rPr>
          <w:lang w:val="hr-HR"/>
        </w:rPr>
        <w:t>100</w:t>
      </w:r>
      <w:r w:rsidR="00F212C3" w:rsidRPr="00E44923">
        <w:rPr>
          <w:lang w:val="hr-HR"/>
        </w:rPr>
        <w:t xml:space="preserve">. Uredbe </w:t>
      </w:r>
      <w:r w:rsidR="00B21D83" w:rsidRPr="00E44923">
        <w:rPr>
          <w:rFonts w:eastAsia="Times New Roman"/>
          <w:lang w:val="hr-HR" w:eastAsia="lv-LV"/>
        </w:rPr>
        <w:t xml:space="preserve">(EU) </w:t>
      </w:r>
      <w:r w:rsidR="00F212C3" w:rsidRPr="00E44923">
        <w:rPr>
          <w:rFonts w:eastAsia="Times New Roman"/>
          <w:lang w:val="hr-HR" w:eastAsia="lv-LV"/>
        </w:rPr>
        <w:t>br.</w:t>
      </w:r>
      <w:r w:rsidR="00B21D83" w:rsidRPr="00E44923">
        <w:rPr>
          <w:rFonts w:eastAsia="Times New Roman"/>
          <w:lang w:val="hr-HR" w:eastAsia="lv-LV"/>
        </w:rPr>
        <w:t xml:space="preserve"> 1303/2013) </w:t>
      </w:r>
      <w:r w:rsidRPr="00E44923">
        <w:rPr>
          <w:rFonts w:eastAsia="Times New Roman"/>
          <w:lang w:val="hr-HR" w:eastAsia="lv-LV"/>
        </w:rPr>
        <w:t>su visokorizični</w:t>
      </w:r>
      <w:r w:rsidR="004E61AF" w:rsidRPr="00E44923">
        <w:rPr>
          <w:rFonts w:eastAsia="Times New Roman"/>
          <w:lang w:val="hr-HR" w:eastAsia="lv-LV"/>
        </w:rPr>
        <w:t xml:space="preserve"> kroz </w:t>
      </w:r>
      <w:r w:rsidR="0096784B" w:rsidRPr="00E44923">
        <w:rPr>
          <w:rFonts w:eastAsia="Times New Roman"/>
          <w:lang w:val="hr-HR" w:eastAsia="lv-LV"/>
        </w:rPr>
        <w:t>cijelo razdoblje</w:t>
      </w:r>
      <w:r w:rsidR="004E61AF" w:rsidRPr="00E44923">
        <w:rPr>
          <w:rFonts w:eastAsia="Times New Roman"/>
          <w:lang w:val="hr-HR" w:eastAsia="lv-LV"/>
        </w:rPr>
        <w:t xml:space="preserve"> provedbe projekta i nakon što je </w:t>
      </w:r>
      <w:r w:rsidR="0096784B" w:rsidRPr="00E44923">
        <w:rPr>
          <w:rFonts w:eastAsia="Times New Roman"/>
          <w:lang w:val="hr-HR" w:eastAsia="lv-LV"/>
        </w:rPr>
        <w:t>izvršeno plaćanje na temelju završnog</w:t>
      </w:r>
      <w:r w:rsidR="004E61AF" w:rsidRPr="00E44923">
        <w:rPr>
          <w:rFonts w:eastAsia="Times New Roman"/>
          <w:lang w:val="hr-HR" w:eastAsia="lv-LV"/>
        </w:rPr>
        <w:t xml:space="preserve"> ZNS-</w:t>
      </w:r>
      <w:r w:rsidR="0096784B" w:rsidRPr="00E44923">
        <w:rPr>
          <w:rFonts w:eastAsia="Times New Roman"/>
          <w:lang w:val="hr-HR" w:eastAsia="lv-LV"/>
        </w:rPr>
        <w:t>a</w:t>
      </w:r>
      <w:r w:rsidR="004E61AF" w:rsidRPr="00E44923">
        <w:rPr>
          <w:rFonts w:eastAsia="Times New Roman"/>
          <w:lang w:val="hr-HR" w:eastAsia="lv-LV"/>
        </w:rPr>
        <w:t xml:space="preserve">. </w:t>
      </w:r>
      <w:r w:rsidR="0096784B" w:rsidRPr="00E44923">
        <w:rPr>
          <w:rFonts w:eastAsia="Times New Roman"/>
          <w:lang w:val="hr-HR" w:eastAsia="lv-LV"/>
        </w:rPr>
        <w:t>Dakle, u odnosu na v</w:t>
      </w:r>
      <w:r w:rsidR="004E61AF" w:rsidRPr="00E44923">
        <w:rPr>
          <w:rFonts w:eastAsia="Times New Roman"/>
          <w:lang w:val="hr-HR" w:eastAsia="lv-LV"/>
        </w:rPr>
        <w:t xml:space="preserve">elike projekte </w:t>
      </w:r>
      <w:r w:rsidR="00976569" w:rsidRPr="00E44923">
        <w:rPr>
          <w:rFonts w:eastAsia="Times New Roman"/>
          <w:lang w:val="hr-HR" w:eastAsia="lv-LV"/>
        </w:rPr>
        <w:t xml:space="preserve">ne </w:t>
      </w:r>
      <w:r w:rsidR="004E61AF" w:rsidRPr="00E44923">
        <w:rPr>
          <w:rFonts w:eastAsia="Times New Roman"/>
          <w:lang w:val="hr-HR" w:eastAsia="lv-LV"/>
        </w:rPr>
        <w:t>provodi se procjena rizi</w:t>
      </w:r>
      <w:r w:rsidR="00201938" w:rsidRPr="00E44923">
        <w:rPr>
          <w:rFonts w:eastAsia="Times New Roman"/>
          <w:lang w:val="hr-HR" w:eastAsia="lv-LV"/>
        </w:rPr>
        <w:t xml:space="preserve">čnosti </w:t>
      </w:r>
      <w:r w:rsidR="00976569" w:rsidRPr="00E44923">
        <w:rPr>
          <w:rFonts w:eastAsia="Times New Roman"/>
          <w:lang w:val="hr-HR" w:eastAsia="lv-LV"/>
        </w:rPr>
        <w:t xml:space="preserve">već se PLM-ovi planiraju </w:t>
      </w:r>
      <w:r w:rsidR="004E61AF" w:rsidRPr="00E44923">
        <w:rPr>
          <w:rFonts w:eastAsia="Times New Roman"/>
          <w:lang w:val="hr-HR" w:eastAsia="lv-LV"/>
        </w:rPr>
        <w:t xml:space="preserve">kao za visokorizične projekte. </w:t>
      </w:r>
    </w:p>
    <w:p w14:paraId="4FEDB71A" w14:textId="77777777" w:rsidR="00B21D83" w:rsidRPr="00E44923" w:rsidRDefault="00B21D83" w:rsidP="00560A31">
      <w:pPr>
        <w:spacing w:before="0"/>
        <w:rPr>
          <w:rFonts w:eastAsia="Times New Roman"/>
          <w:b/>
          <w:lang w:val="hr-HR" w:eastAsia="lv-LV"/>
        </w:rPr>
      </w:pPr>
    </w:p>
    <w:p w14:paraId="1A5004C9" w14:textId="236434A9" w:rsidR="00B21D83" w:rsidRPr="00E44923" w:rsidRDefault="003A2F3B" w:rsidP="00560A31">
      <w:pPr>
        <w:spacing w:before="0"/>
        <w:rPr>
          <w:rFonts w:eastAsia="Times New Roman"/>
          <w:lang w:val="hr-HR" w:eastAsia="lv-LV"/>
        </w:rPr>
      </w:pPr>
      <w:r w:rsidRPr="00E44923">
        <w:rPr>
          <w:rFonts w:eastAsia="Times New Roman"/>
          <w:lang w:val="hr-HR" w:eastAsia="lv-LV"/>
        </w:rPr>
        <w:t xml:space="preserve">Predložena metodologija </w:t>
      </w:r>
      <w:r w:rsidR="00024D02" w:rsidRPr="00E44923">
        <w:rPr>
          <w:rFonts w:eastAsia="Times New Roman"/>
          <w:lang w:val="hr-HR" w:eastAsia="lv-LV"/>
        </w:rPr>
        <w:t>se ne primjenjuje za procjenu rizi</w:t>
      </w:r>
      <w:r w:rsidR="0011047D" w:rsidRPr="00E44923">
        <w:rPr>
          <w:rFonts w:eastAsia="Times New Roman"/>
          <w:lang w:val="hr-HR" w:eastAsia="lv-LV"/>
        </w:rPr>
        <w:t xml:space="preserve">čnosti </w:t>
      </w:r>
      <w:r w:rsidR="00024D02" w:rsidRPr="00E44923">
        <w:rPr>
          <w:rFonts w:eastAsia="Times New Roman"/>
          <w:lang w:val="hr-HR" w:eastAsia="lv-LV"/>
        </w:rPr>
        <w:t xml:space="preserve">projekata </w:t>
      </w:r>
      <w:r w:rsidR="00967528" w:rsidRPr="00E44923">
        <w:rPr>
          <w:rFonts w:eastAsia="Times New Roman"/>
          <w:lang w:val="hr-HR" w:eastAsia="lv-LV"/>
        </w:rPr>
        <w:t xml:space="preserve"> koji se provode putem</w:t>
      </w:r>
      <w:r w:rsidR="00024D02" w:rsidRPr="00E44923">
        <w:rPr>
          <w:rFonts w:eastAsia="Times New Roman"/>
          <w:lang w:val="hr-HR" w:eastAsia="lv-LV"/>
        </w:rPr>
        <w:t xml:space="preserve"> financijskih instrumenata </w:t>
      </w:r>
      <w:r w:rsidR="00967528" w:rsidRPr="00E44923">
        <w:rPr>
          <w:rFonts w:eastAsia="Times New Roman"/>
          <w:lang w:val="hr-HR" w:eastAsia="lv-LV"/>
        </w:rPr>
        <w:t>te na projekte</w:t>
      </w:r>
      <w:r w:rsidR="00024D02" w:rsidRPr="00E44923">
        <w:rPr>
          <w:rFonts w:eastAsia="Times New Roman"/>
          <w:lang w:val="hr-HR" w:eastAsia="lv-LV"/>
        </w:rPr>
        <w:t xml:space="preserve"> javno-privatnog partnerstva sufinanciran</w:t>
      </w:r>
      <w:r w:rsidR="00967528" w:rsidRPr="00E44923">
        <w:rPr>
          <w:rFonts w:eastAsia="Times New Roman"/>
          <w:lang w:val="hr-HR" w:eastAsia="lv-LV"/>
        </w:rPr>
        <w:t>e</w:t>
      </w:r>
      <w:r w:rsidR="00024D02" w:rsidRPr="00E44923">
        <w:rPr>
          <w:rFonts w:eastAsia="Times New Roman"/>
          <w:lang w:val="hr-HR" w:eastAsia="lv-LV"/>
        </w:rPr>
        <w:t xml:space="preserve"> iz fondova EU. </w:t>
      </w:r>
    </w:p>
    <w:p w14:paraId="0A890915" w14:textId="77777777" w:rsidR="00024D02" w:rsidRPr="00E44923" w:rsidRDefault="00024D02" w:rsidP="00560A31">
      <w:pPr>
        <w:spacing w:before="0"/>
        <w:rPr>
          <w:rFonts w:eastAsia="Times New Roman"/>
          <w:lang w:val="hr-HR" w:eastAsia="lv-LV"/>
        </w:rPr>
      </w:pPr>
    </w:p>
    <w:p w14:paraId="2D1142EA" w14:textId="77777777" w:rsidR="00B21D83" w:rsidRPr="00E44923" w:rsidRDefault="00B21D83" w:rsidP="00560A31">
      <w:pPr>
        <w:spacing w:before="0"/>
        <w:rPr>
          <w:rFonts w:eastAsia="Times New Roman"/>
          <w:lang w:val="hr-HR" w:eastAsia="lv-LV"/>
        </w:rPr>
      </w:pPr>
    </w:p>
    <w:p w14:paraId="0A40D2A5" w14:textId="77777777" w:rsidR="00B21D83" w:rsidRPr="00E44923" w:rsidRDefault="00B21D83" w:rsidP="00560A31">
      <w:pPr>
        <w:spacing w:before="0"/>
        <w:rPr>
          <w:rFonts w:eastAsia="Times New Roman"/>
          <w:lang w:val="hr-HR" w:eastAsia="lv-LV"/>
        </w:rPr>
      </w:pPr>
    </w:p>
    <w:p w14:paraId="73DDA9ED" w14:textId="77777777" w:rsidR="00B21D83" w:rsidRPr="00E44923" w:rsidRDefault="00B21D83" w:rsidP="00560A31">
      <w:pPr>
        <w:spacing w:before="0"/>
        <w:rPr>
          <w:rFonts w:eastAsia="Times New Roman"/>
          <w:lang w:val="hr-HR" w:eastAsia="lv-LV"/>
        </w:rPr>
      </w:pPr>
    </w:p>
    <w:p w14:paraId="19CCECD3" w14:textId="77777777" w:rsidR="00B21D83" w:rsidRPr="00E44923" w:rsidRDefault="00B21D83" w:rsidP="00560A31">
      <w:pPr>
        <w:spacing w:before="0"/>
        <w:rPr>
          <w:lang w:val="hr-HR"/>
        </w:rPr>
      </w:pPr>
    </w:p>
    <w:p w14:paraId="65A61AB7" w14:textId="77777777" w:rsidR="005C3B3A" w:rsidRPr="00E44923" w:rsidRDefault="005C3B3A" w:rsidP="00560A31">
      <w:pPr>
        <w:tabs>
          <w:tab w:val="left" w:pos="4748"/>
        </w:tabs>
        <w:spacing w:before="0"/>
        <w:ind w:left="0"/>
        <w:jc w:val="center"/>
        <w:rPr>
          <w:lang w:val="hr-HR"/>
        </w:rPr>
      </w:pPr>
    </w:p>
    <w:sectPr w:rsidR="005C3B3A" w:rsidRPr="00E44923" w:rsidSect="001D178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357" w:right="1416" w:bottom="1418" w:left="1418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68C35F9" w14:textId="77777777" w:rsidR="00255BD1" w:rsidRDefault="00255BD1">
      <w:r>
        <w:separator/>
      </w:r>
    </w:p>
  </w:endnote>
  <w:endnote w:type="continuationSeparator" w:id="0">
    <w:p w14:paraId="639B538F" w14:textId="77777777" w:rsidR="00255BD1" w:rsidRDefault="00255B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rifa Roman Italic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F5626A" w14:textId="77777777" w:rsidR="00231298" w:rsidRDefault="002312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410466335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08A3BCC5" w14:textId="152AEEAD" w:rsidR="00DB7AE4" w:rsidRPr="00C811EF" w:rsidRDefault="00DB7AE4">
        <w:pPr>
          <w:pStyle w:val="Footer"/>
          <w:jc w:val="center"/>
          <w:rPr>
            <w:sz w:val="18"/>
            <w:szCs w:val="18"/>
          </w:rPr>
        </w:pPr>
        <w:r w:rsidRPr="00C811EF">
          <w:rPr>
            <w:sz w:val="18"/>
            <w:szCs w:val="18"/>
          </w:rPr>
          <w:t xml:space="preserve">Stranica </w:t>
        </w:r>
        <w:r w:rsidRPr="00C811EF">
          <w:rPr>
            <w:sz w:val="18"/>
            <w:szCs w:val="18"/>
          </w:rPr>
          <w:fldChar w:fldCharType="begin"/>
        </w:r>
        <w:r w:rsidRPr="00C811EF">
          <w:rPr>
            <w:sz w:val="18"/>
            <w:szCs w:val="18"/>
          </w:rPr>
          <w:instrText xml:space="preserve"> PAGE   \* MERGEFORMAT </w:instrText>
        </w:r>
        <w:r w:rsidRPr="00C811EF">
          <w:rPr>
            <w:sz w:val="18"/>
            <w:szCs w:val="18"/>
          </w:rPr>
          <w:fldChar w:fldCharType="separate"/>
        </w:r>
        <w:r w:rsidR="001274E1">
          <w:rPr>
            <w:noProof/>
            <w:sz w:val="18"/>
            <w:szCs w:val="18"/>
          </w:rPr>
          <w:t>9</w:t>
        </w:r>
        <w:r w:rsidRPr="00C811EF">
          <w:rPr>
            <w:noProof/>
            <w:sz w:val="18"/>
            <w:szCs w:val="18"/>
          </w:rPr>
          <w:fldChar w:fldCharType="end"/>
        </w:r>
      </w:p>
    </w:sdtContent>
  </w:sdt>
  <w:p w14:paraId="16E87D9E" w14:textId="2BB2E263" w:rsidR="00DB7AE4" w:rsidRPr="00B747DE" w:rsidRDefault="00DB7AE4" w:rsidP="00B747DE">
    <w:pPr>
      <w:pStyle w:val="Footer"/>
      <w:tabs>
        <w:tab w:val="left" w:pos="6285"/>
      </w:tabs>
      <w:ind w:right="-650" w:hanging="900"/>
      <w:rPr>
        <w:rFonts w:ascii="Arial" w:hAnsi="Arial" w:cs="Arial"/>
        <w:i/>
        <w:iCs/>
        <w:sz w:val="14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D8BE90" w14:textId="77777777" w:rsidR="00231298" w:rsidRDefault="002312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A21FF9" w14:textId="77777777" w:rsidR="00255BD1" w:rsidRDefault="00255BD1">
      <w:r>
        <w:separator/>
      </w:r>
    </w:p>
  </w:footnote>
  <w:footnote w:type="continuationSeparator" w:id="0">
    <w:p w14:paraId="6DBB7C52" w14:textId="77777777" w:rsidR="00255BD1" w:rsidRDefault="00255B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652A44" w14:textId="77777777" w:rsidR="00231298" w:rsidRDefault="0023129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F48F96F" w14:textId="1126C4D9" w:rsidR="00DB7AE4" w:rsidRDefault="00DB7AE4" w:rsidP="001E703A">
    <w:pPr>
      <w:spacing w:before="0"/>
      <w:ind w:left="2116" w:firstLine="720"/>
      <w:rPr>
        <w:rFonts w:ascii="Tahoma" w:hAnsi="Tahoma" w:cs="Tahoma"/>
        <w:b/>
        <w:sz w:val="18"/>
        <w:szCs w:val="28"/>
        <w:lang w:val="hr-HR" w:eastAsia="en-GB"/>
      </w:rPr>
    </w:pPr>
  </w:p>
  <w:p w14:paraId="175A6963" w14:textId="0289C96B" w:rsidR="00416435" w:rsidRDefault="00416435" w:rsidP="001E703A">
    <w:pPr>
      <w:spacing w:before="0"/>
      <w:ind w:left="2116" w:firstLine="720"/>
      <w:rPr>
        <w:rFonts w:ascii="Tahoma" w:hAnsi="Tahoma" w:cs="Tahoma"/>
        <w:b/>
        <w:sz w:val="18"/>
        <w:szCs w:val="28"/>
        <w:lang w:val="hr-HR" w:eastAsia="en-GB"/>
      </w:rPr>
    </w:pPr>
  </w:p>
  <w:tbl>
    <w:tblPr>
      <w:tblW w:w="906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A0" w:firstRow="1" w:lastRow="0" w:firstColumn="1" w:lastColumn="0" w:noHBand="0" w:noVBand="0"/>
    </w:tblPr>
    <w:tblGrid>
      <w:gridCol w:w="2088"/>
      <w:gridCol w:w="2775"/>
      <w:gridCol w:w="2309"/>
      <w:gridCol w:w="1895"/>
    </w:tblGrid>
    <w:tr w:rsidR="00416435" w:rsidRPr="00CF00B0" w14:paraId="38B68568" w14:textId="77777777" w:rsidTr="005C3164">
      <w:tc>
        <w:tcPr>
          <w:tcW w:w="2088" w:type="dxa"/>
          <w:vMerge w:val="restart"/>
        </w:tcPr>
        <w:p w14:paraId="1B5F3510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>Ministarstvo regionalnoga razvoja i fondova Europske unije (MRRFEU)</w:t>
          </w:r>
        </w:p>
      </w:tc>
      <w:tc>
        <w:tcPr>
          <w:tcW w:w="2775" w:type="dxa"/>
          <w:vMerge w:val="restart"/>
        </w:tcPr>
        <w:p w14:paraId="2E83744A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>PRAVILA 2014.-2020.</w:t>
          </w:r>
        </w:p>
      </w:tc>
      <w:tc>
        <w:tcPr>
          <w:tcW w:w="2309" w:type="dxa"/>
        </w:tcPr>
        <w:p w14:paraId="04110DAF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>Pravilo br.</w:t>
          </w:r>
        </w:p>
      </w:tc>
      <w:tc>
        <w:tcPr>
          <w:tcW w:w="1895" w:type="dxa"/>
        </w:tcPr>
        <w:p w14:paraId="1D469B0A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>05</w:t>
          </w:r>
        </w:p>
      </w:tc>
    </w:tr>
    <w:tr w:rsidR="00416435" w:rsidRPr="00CF00B0" w14:paraId="627A78CF" w14:textId="77777777" w:rsidTr="005C3164">
      <w:tc>
        <w:tcPr>
          <w:tcW w:w="2088" w:type="dxa"/>
          <w:vMerge/>
        </w:tcPr>
        <w:p w14:paraId="4D28B827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b/>
              <w:lang w:val="hr-HR" w:eastAsia="en-US"/>
            </w:rPr>
          </w:pPr>
        </w:p>
      </w:tc>
      <w:tc>
        <w:tcPr>
          <w:tcW w:w="2775" w:type="dxa"/>
          <w:vMerge/>
        </w:tcPr>
        <w:p w14:paraId="2E2D940C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b/>
              <w:lang w:val="hr-HR" w:eastAsia="en-US"/>
            </w:rPr>
          </w:pPr>
        </w:p>
      </w:tc>
      <w:tc>
        <w:tcPr>
          <w:tcW w:w="2309" w:type="dxa"/>
        </w:tcPr>
        <w:p w14:paraId="25956F12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 xml:space="preserve">Datum </w:t>
          </w:r>
        </w:p>
      </w:tc>
      <w:tc>
        <w:tcPr>
          <w:tcW w:w="1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0D2CFCA" w14:textId="0391E9F9" w:rsidR="00416435" w:rsidRPr="00CF00B0" w:rsidRDefault="007B77FE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>
            <w:rPr>
              <w:b/>
            </w:rPr>
            <w:t>Prosinac</w:t>
          </w:r>
          <w:r w:rsidR="00416435" w:rsidRPr="009F5321">
            <w:rPr>
              <w:b/>
            </w:rPr>
            <w:t xml:space="preserve"> 20</w:t>
          </w:r>
          <w:r w:rsidR="00FE66D0">
            <w:rPr>
              <w:b/>
            </w:rPr>
            <w:t>20</w:t>
          </w:r>
          <w:r w:rsidR="00416435" w:rsidRPr="009F5321">
            <w:rPr>
              <w:b/>
            </w:rPr>
            <w:t>.</w:t>
          </w:r>
        </w:p>
      </w:tc>
    </w:tr>
    <w:tr w:rsidR="00416435" w:rsidRPr="00CF00B0" w14:paraId="6BB43754" w14:textId="77777777" w:rsidTr="005C3164">
      <w:tc>
        <w:tcPr>
          <w:tcW w:w="2088" w:type="dxa"/>
          <w:vMerge/>
        </w:tcPr>
        <w:p w14:paraId="0F7983EE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b/>
              <w:lang w:val="hr-HR" w:eastAsia="en-US"/>
            </w:rPr>
          </w:pPr>
        </w:p>
      </w:tc>
      <w:tc>
        <w:tcPr>
          <w:tcW w:w="2775" w:type="dxa"/>
          <w:vMerge w:val="restart"/>
        </w:tcPr>
        <w:p w14:paraId="43C6F610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lang w:val="hr-HR" w:eastAsia="en-US"/>
            </w:rPr>
          </w:pPr>
          <w:r w:rsidRPr="00CF00B0">
            <w:rPr>
              <w:b/>
              <w:lang w:val="hr-HR" w:eastAsia="en-US"/>
            </w:rPr>
            <w:t>Izvršavanje i upravljanje ugovorima o dodjeli bespovratnih sredstava</w:t>
          </w:r>
        </w:p>
      </w:tc>
      <w:tc>
        <w:tcPr>
          <w:tcW w:w="2309" w:type="dxa"/>
        </w:tcPr>
        <w:p w14:paraId="42DA8AEB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>Verzija</w:t>
          </w:r>
        </w:p>
      </w:tc>
      <w:tc>
        <w:tcPr>
          <w:tcW w:w="189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51041AC" w14:textId="751390D7" w:rsidR="00416435" w:rsidRPr="00CF00B0" w:rsidRDefault="009701ED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>
            <w:rPr>
              <w:b/>
              <w:color w:val="000000"/>
            </w:rPr>
            <w:t>7</w:t>
          </w:r>
          <w:r w:rsidR="00416435">
            <w:rPr>
              <w:b/>
              <w:color w:val="000000"/>
            </w:rPr>
            <w:t>.0</w:t>
          </w:r>
        </w:p>
      </w:tc>
    </w:tr>
    <w:tr w:rsidR="00416435" w:rsidRPr="00CF00B0" w14:paraId="0695D0A1" w14:textId="77777777" w:rsidTr="005C3164">
      <w:tc>
        <w:tcPr>
          <w:tcW w:w="2088" w:type="dxa"/>
          <w:vMerge/>
        </w:tcPr>
        <w:p w14:paraId="7BBB752B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b/>
              <w:lang w:val="hr-HR" w:eastAsia="en-US"/>
            </w:rPr>
          </w:pPr>
        </w:p>
      </w:tc>
      <w:tc>
        <w:tcPr>
          <w:tcW w:w="2775" w:type="dxa"/>
          <w:vMerge/>
        </w:tcPr>
        <w:p w14:paraId="618AE2F0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lang w:val="hr-HR" w:eastAsia="en-US"/>
            </w:rPr>
          </w:pPr>
        </w:p>
      </w:tc>
      <w:tc>
        <w:tcPr>
          <w:tcW w:w="2309" w:type="dxa"/>
        </w:tcPr>
        <w:p w14:paraId="2830F5D1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 xml:space="preserve">Prilog </w:t>
          </w:r>
        </w:p>
      </w:tc>
      <w:tc>
        <w:tcPr>
          <w:tcW w:w="1895" w:type="dxa"/>
        </w:tcPr>
        <w:p w14:paraId="79532A97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>
            <w:rPr>
              <w:b/>
              <w:lang w:val="hr-HR" w:eastAsia="en-US"/>
            </w:rPr>
            <w:t>10</w:t>
          </w:r>
        </w:p>
      </w:tc>
    </w:tr>
    <w:tr w:rsidR="00416435" w:rsidRPr="00CF00B0" w14:paraId="206CBA47" w14:textId="77777777" w:rsidTr="005C3164">
      <w:tc>
        <w:tcPr>
          <w:tcW w:w="2088" w:type="dxa"/>
          <w:vMerge/>
        </w:tcPr>
        <w:p w14:paraId="3C716803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b/>
              <w:lang w:val="hr-HR" w:eastAsia="en-US"/>
            </w:rPr>
          </w:pPr>
        </w:p>
      </w:tc>
      <w:tc>
        <w:tcPr>
          <w:tcW w:w="2775" w:type="dxa"/>
          <w:vMerge/>
        </w:tcPr>
        <w:p w14:paraId="65B0056B" w14:textId="77777777" w:rsidR="00416435" w:rsidRPr="00CF00B0" w:rsidRDefault="00416435" w:rsidP="00416435">
          <w:pPr>
            <w:spacing w:before="0" w:line="276" w:lineRule="auto"/>
            <w:ind w:left="0"/>
            <w:jc w:val="left"/>
            <w:rPr>
              <w:lang w:val="hr-HR" w:eastAsia="en-US"/>
            </w:rPr>
          </w:pPr>
        </w:p>
      </w:tc>
      <w:tc>
        <w:tcPr>
          <w:tcW w:w="2309" w:type="dxa"/>
        </w:tcPr>
        <w:p w14:paraId="2CCCBAE8" w14:textId="77777777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A957CF">
            <w:rPr>
              <w:b/>
            </w:rPr>
            <w:t>Pravilo donosi</w:t>
          </w:r>
        </w:p>
      </w:tc>
      <w:tc>
        <w:tcPr>
          <w:tcW w:w="1895" w:type="dxa"/>
        </w:tcPr>
        <w:p w14:paraId="452B1260" w14:textId="5233D20D" w:rsidR="00416435" w:rsidRPr="00CF00B0" w:rsidRDefault="00416435" w:rsidP="00416435">
          <w:pPr>
            <w:tabs>
              <w:tab w:val="left" w:pos="1257"/>
            </w:tabs>
            <w:spacing w:before="0" w:line="276" w:lineRule="auto"/>
            <w:ind w:left="0"/>
            <w:jc w:val="center"/>
            <w:rPr>
              <w:b/>
              <w:lang w:val="hr-HR" w:eastAsia="en-US"/>
            </w:rPr>
          </w:pPr>
          <w:r w:rsidRPr="00CF00B0">
            <w:rPr>
              <w:b/>
              <w:lang w:val="hr-HR" w:eastAsia="en-US"/>
            </w:rPr>
            <w:t>Minist</w:t>
          </w:r>
          <w:r w:rsidR="009701ED">
            <w:rPr>
              <w:b/>
              <w:lang w:val="hr-HR" w:eastAsia="en-US"/>
            </w:rPr>
            <w:t xml:space="preserve">rica </w:t>
          </w:r>
          <w:r w:rsidRPr="00CF00B0">
            <w:rPr>
              <w:b/>
              <w:lang w:val="hr-HR" w:eastAsia="en-US"/>
            </w:rPr>
            <w:t>MRRFEU</w:t>
          </w:r>
        </w:p>
      </w:tc>
    </w:tr>
  </w:tbl>
  <w:p w14:paraId="7B00C829" w14:textId="680BD93C" w:rsidR="00416435" w:rsidRDefault="00416435" w:rsidP="001E703A">
    <w:pPr>
      <w:spacing w:before="0"/>
      <w:ind w:left="2116" w:firstLine="720"/>
      <w:rPr>
        <w:rFonts w:ascii="Tahoma" w:hAnsi="Tahoma" w:cs="Tahoma"/>
        <w:b/>
        <w:sz w:val="18"/>
        <w:szCs w:val="28"/>
        <w:lang w:val="hr-HR" w:eastAsia="en-GB"/>
      </w:rPr>
    </w:pPr>
  </w:p>
  <w:p w14:paraId="2999CBCF" w14:textId="77777777" w:rsidR="00416435" w:rsidRPr="009B4653" w:rsidRDefault="00416435" w:rsidP="001E703A">
    <w:pPr>
      <w:spacing w:before="0"/>
      <w:ind w:left="2116" w:firstLine="720"/>
      <w:rPr>
        <w:rFonts w:ascii="Tahoma" w:hAnsi="Tahoma" w:cs="Tahoma"/>
        <w:b/>
        <w:sz w:val="18"/>
        <w:szCs w:val="28"/>
        <w:lang w:val="hr-HR" w:eastAsia="en-GB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E1C647" w14:textId="77777777" w:rsidR="00231298" w:rsidRDefault="0023129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E5EDA"/>
    <w:multiLevelType w:val="multilevel"/>
    <w:tmpl w:val="69681EF4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5" w:hanging="4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440"/>
      </w:pPr>
      <w:rPr>
        <w:rFonts w:hint="default"/>
      </w:rPr>
    </w:lvl>
  </w:abstractNum>
  <w:abstractNum w:abstractNumId="1" w15:restartNumberingAfterBreak="0">
    <w:nsid w:val="025B0321"/>
    <w:multiLevelType w:val="hybridMultilevel"/>
    <w:tmpl w:val="3E1AD2CC"/>
    <w:lvl w:ilvl="0" w:tplc="D738040A">
      <w:start w:val="15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100A71"/>
    <w:multiLevelType w:val="hybridMultilevel"/>
    <w:tmpl w:val="C05C0C1A"/>
    <w:lvl w:ilvl="0" w:tplc="7F3ED9BC">
      <w:numFmt w:val="bullet"/>
      <w:lvlText w:val="-"/>
      <w:lvlJc w:val="left"/>
      <w:pPr>
        <w:ind w:left="1112" w:hanging="360"/>
      </w:pPr>
      <w:rPr>
        <w:rFonts w:ascii="Cambria" w:eastAsia="Calibri" w:hAnsi="Cambria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3" w15:restartNumberingAfterBreak="0">
    <w:nsid w:val="09081FD7"/>
    <w:multiLevelType w:val="hybridMultilevel"/>
    <w:tmpl w:val="E54AFE02"/>
    <w:lvl w:ilvl="0" w:tplc="04260011">
      <w:start w:val="1"/>
      <w:numFmt w:val="decimal"/>
      <w:lvlText w:val="%1)"/>
      <w:lvlJc w:val="left"/>
      <w:pPr>
        <w:ind w:left="392" w:hanging="360"/>
      </w:pPr>
      <w:rPr>
        <w:sz w:val="20"/>
        <w:szCs w:val="20"/>
      </w:rPr>
    </w:lvl>
    <w:lvl w:ilvl="1" w:tplc="0426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1832" w:hanging="180"/>
      </w:pPr>
    </w:lvl>
    <w:lvl w:ilvl="3" w:tplc="0426000F" w:tentative="1">
      <w:start w:val="1"/>
      <w:numFmt w:val="decimal"/>
      <w:lvlText w:val="%4."/>
      <w:lvlJc w:val="left"/>
      <w:pPr>
        <w:ind w:left="2552" w:hanging="360"/>
      </w:pPr>
    </w:lvl>
    <w:lvl w:ilvl="4" w:tplc="04260019" w:tentative="1">
      <w:start w:val="1"/>
      <w:numFmt w:val="lowerLetter"/>
      <w:lvlText w:val="%5."/>
      <w:lvlJc w:val="left"/>
      <w:pPr>
        <w:ind w:left="3272" w:hanging="360"/>
      </w:pPr>
    </w:lvl>
    <w:lvl w:ilvl="5" w:tplc="0426001B" w:tentative="1">
      <w:start w:val="1"/>
      <w:numFmt w:val="lowerRoman"/>
      <w:lvlText w:val="%6."/>
      <w:lvlJc w:val="right"/>
      <w:pPr>
        <w:ind w:left="3992" w:hanging="180"/>
      </w:pPr>
    </w:lvl>
    <w:lvl w:ilvl="6" w:tplc="0426000F" w:tentative="1">
      <w:start w:val="1"/>
      <w:numFmt w:val="decimal"/>
      <w:lvlText w:val="%7."/>
      <w:lvlJc w:val="left"/>
      <w:pPr>
        <w:ind w:left="4712" w:hanging="360"/>
      </w:pPr>
    </w:lvl>
    <w:lvl w:ilvl="7" w:tplc="04260019" w:tentative="1">
      <w:start w:val="1"/>
      <w:numFmt w:val="lowerLetter"/>
      <w:lvlText w:val="%8."/>
      <w:lvlJc w:val="left"/>
      <w:pPr>
        <w:ind w:left="5432" w:hanging="360"/>
      </w:pPr>
    </w:lvl>
    <w:lvl w:ilvl="8" w:tplc="0426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4" w15:restartNumberingAfterBreak="0">
    <w:nsid w:val="09245F5A"/>
    <w:multiLevelType w:val="hybridMultilevel"/>
    <w:tmpl w:val="B7A2544A"/>
    <w:lvl w:ilvl="0" w:tplc="35346C2C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8A1CFC"/>
    <w:multiLevelType w:val="hybridMultilevel"/>
    <w:tmpl w:val="3DEE3638"/>
    <w:lvl w:ilvl="0" w:tplc="042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D97480"/>
    <w:multiLevelType w:val="hybridMultilevel"/>
    <w:tmpl w:val="86D4E2B4"/>
    <w:lvl w:ilvl="0" w:tplc="C52A5028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0172FB"/>
    <w:multiLevelType w:val="hybridMultilevel"/>
    <w:tmpl w:val="B1823FF0"/>
    <w:lvl w:ilvl="0" w:tplc="EEF27B9C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8" w15:restartNumberingAfterBreak="0">
    <w:nsid w:val="0FDF14D2"/>
    <w:multiLevelType w:val="multilevel"/>
    <w:tmpl w:val="00C4DF9A"/>
    <w:lvl w:ilvl="0">
      <w:start w:val="1"/>
      <w:numFmt w:val="lowerRoman"/>
      <w:lvlText w:val="(%1)"/>
      <w:lvlJc w:val="left"/>
      <w:pPr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9" w15:restartNumberingAfterBreak="0">
    <w:nsid w:val="0FF30CF4"/>
    <w:multiLevelType w:val="hybridMultilevel"/>
    <w:tmpl w:val="BF104748"/>
    <w:lvl w:ilvl="0" w:tplc="04260011">
      <w:start w:val="1"/>
      <w:numFmt w:val="decimal"/>
      <w:lvlText w:val="%1)"/>
      <w:lvlJc w:val="left"/>
      <w:pPr>
        <w:ind w:left="392" w:hanging="360"/>
      </w:pPr>
      <w:rPr>
        <w:sz w:val="20"/>
        <w:szCs w:val="20"/>
      </w:rPr>
    </w:lvl>
    <w:lvl w:ilvl="1" w:tplc="04260019" w:tentative="1">
      <w:start w:val="1"/>
      <w:numFmt w:val="lowerLetter"/>
      <w:lvlText w:val="%2."/>
      <w:lvlJc w:val="left"/>
      <w:pPr>
        <w:ind w:left="1112" w:hanging="360"/>
      </w:pPr>
    </w:lvl>
    <w:lvl w:ilvl="2" w:tplc="0426001B" w:tentative="1">
      <w:start w:val="1"/>
      <w:numFmt w:val="lowerRoman"/>
      <w:lvlText w:val="%3."/>
      <w:lvlJc w:val="right"/>
      <w:pPr>
        <w:ind w:left="1832" w:hanging="180"/>
      </w:pPr>
    </w:lvl>
    <w:lvl w:ilvl="3" w:tplc="0426000F" w:tentative="1">
      <w:start w:val="1"/>
      <w:numFmt w:val="decimal"/>
      <w:lvlText w:val="%4."/>
      <w:lvlJc w:val="left"/>
      <w:pPr>
        <w:ind w:left="2552" w:hanging="360"/>
      </w:pPr>
    </w:lvl>
    <w:lvl w:ilvl="4" w:tplc="04260019" w:tentative="1">
      <w:start w:val="1"/>
      <w:numFmt w:val="lowerLetter"/>
      <w:lvlText w:val="%5."/>
      <w:lvlJc w:val="left"/>
      <w:pPr>
        <w:ind w:left="3272" w:hanging="360"/>
      </w:pPr>
    </w:lvl>
    <w:lvl w:ilvl="5" w:tplc="0426001B" w:tentative="1">
      <w:start w:val="1"/>
      <w:numFmt w:val="lowerRoman"/>
      <w:lvlText w:val="%6."/>
      <w:lvlJc w:val="right"/>
      <w:pPr>
        <w:ind w:left="3992" w:hanging="180"/>
      </w:pPr>
    </w:lvl>
    <w:lvl w:ilvl="6" w:tplc="0426000F" w:tentative="1">
      <w:start w:val="1"/>
      <w:numFmt w:val="decimal"/>
      <w:lvlText w:val="%7."/>
      <w:lvlJc w:val="left"/>
      <w:pPr>
        <w:ind w:left="4712" w:hanging="360"/>
      </w:pPr>
    </w:lvl>
    <w:lvl w:ilvl="7" w:tplc="04260019" w:tentative="1">
      <w:start w:val="1"/>
      <w:numFmt w:val="lowerLetter"/>
      <w:lvlText w:val="%8."/>
      <w:lvlJc w:val="left"/>
      <w:pPr>
        <w:ind w:left="5432" w:hanging="360"/>
      </w:pPr>
    </w:lvl>
    <w:lvl w:ilvl="8" w:tplc="0426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0" w15:restartNumberingAfterBreak="0">
    <w:nsid w:val="123076A6"/>
    <w:multiLevelType w:val="hybridMultilevel"/>
    <w:tmpl w:val="2E2EE6B0"/>
    <w:lvl w:ilvl="0" w:tplc="04260011">
      <w:start w:val="1"/>
      <w:numFmt w:val="decimal"/>
      <w:lvlText w:val="%1)"/>
      <w:lvlJc w:val="left"/>
      <w:pPr>
        <w:ind w:left="392" w:hanging="360"/>
      </w:pPr>
      <w:rPr>
        <w:sz w:val="20"/>
        <w:szCs w:val="20"/>
      </w:rPr>
    </w:lvl>
    <w:lvl w:ilvl="1" w:tplc="0426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1832" w:hanging="180"/>
      </w:pPr>
    </w:lvl>
    <w:lvl w:ilvl="3" w:tplc="0426000F" w:tentative="1">
      <w:start w:val="1"/>
      <w:numFmt w:val="decimal"/>
      <w:lvlText w:val="%4."/>
      <w:lvlJc w:val="left"/>
      <w:pPr>
        <w:ind w:left="2552" w:hanging="360"/>
      </w:pPr>
    </w:lvl>
    <w:lvl w:ilvl="4" w:tplc="04260019" w:tentative="1">
      <w:start w:val="1"/>
      <w:numFmt w:val="lowerLetter"/>
      <w:lvlText w:val="%5."/>
      <w:lvlJc w:val="left"/>
      <w:pPr>
        <w:ind w:left="3272" w:hanging="360"/>
      </w:pPr>
    </w:lvl>
    <w:lvl w:ilvl="5" w:tplc="0426001B" w:tentative="1">
      <w:start w:val="1"/>
      <w:numFmt w:val="lowerRoman"/>
      <w:lvlText w:val="%6."/>
      <w:lvlJc w:val="right"/>
      <w:pPr>
        <w:ind w:left="3992" w:hanging="180"/>
      </w:pPr>
    </w:lvl>
    <w:lvl w:ilvl="6" w:tplc="0426000F" w:tentative="1">
      <w:start w:val="1"/>
      <w:numFmt w:val="decimal"/>
      <w:lvlText w:val="%7."/>
      <w:lvlJc w:val="left"/>
      <w:pPr>
        <w:ind w:left="4712" w:hanging="360"/>
      </w:pPr>
    </w:lvl>
    <w:lvl w:ilvl="7" w:tplc="04260019" w:tentative="1">
      <w:start w:val="1"/>
      <w:numFmt w:val="lowerLetter"/>
      <w:lvlText w:val="%8."/>
      <w:lvlJc w:val="left"/>
      <w:pPr>
        <w:ind w:left="5432" w:hanging="360"/>
      </w:pPr>
    </w:lvl>
    <w:lvl w:ilvl="8" w:tplc="0426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11" w15:restartNumberingAfterBreak="0">
    <w:nsid w:val="1499698B"/>
    <w:multiLevelType w:val="hybridMultilevel"/>
    <w:tmpl w:val="2462118E"/>
    <w:lvl w:ilvl="0" w:tplc="803E3FF6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2" w15:restartNumberingAfterBreak="0">
    <w:nsid w:val="269D12EA"/>
    <w:multiLevelType w:val="hybridMultilevel"/>
    <w:tmpl w:val="7A92D952"/>
    <w:lvl w:ilvl="0" w:tplc="DE588532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21389B"/>
    <w:multiLevelType w:val="hybridMultilevel"/>
    <w:tmpl w:val="A44ECEEA"/>
    <w:lvl w:ilvl="0" w:tplc="2468F23C">
      <w:start w:val="10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D21841"/>
    <w:multiLevelType w:val="hybridMultilevel"/>
    <w:tmpl w:val="29DA115E"/>
    <w:lvl w:ilvl="0" w:tplc="9606ED02">
      <w:start w:val="1"/>
      <w:numFmt w:val="lowerRoman"/>
      <w:lvlText w:val="%1)"/>
      <w:lvlJc w:val="left"/>
      <w:pPr>
        <w:ind w:left="76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25" w:hanging="360"/>
      </w:pPr>
    </w:lvl>
    <w:lvl w:ilvl="2" w:tplc="041A001B" w:tentative="1">
      <w:start w:val="1"/>
      <w:numFmt w:val="lowerRoman"/>
      <w:lvlText w:val="%3."/>
      <w:lvlJc w:val="right"/>
      <w:pPr>
        <w:ind w:left="1845" w:hanging="180"/>
      </w:pPr>
    </w:lvl>
    <w:lvl w:ilvl="3" w:tplc="041A000F" w:tentative="1">
      <w:start w:val="1"/>
      <w:numFmt w:val="decimal"/>
      <w:lvlText w:val="%4."/>
      <w:lvlJc w:val="left"/>
      <w:pPr>
        <w:ind w:left="2565" w:hanging="360"/>
      </w:pPr>
    </w:lvl>
    <w:lvl w:ilvl="4" w:tplc="041A0019" w:tentative="1">
      <w:start w:val="1"/>
      <w:numFmt w:val="lowerLetter"/>
      <w:lvlText w:val="%5."/>
      <w:lvlJc w:val="left"/>
      <w:pPr>
        <w:ind w:left="3285" w:hanging="360"/>
      </w:pPr>
    </w:lvl>
    <w:lvl w:ilvl="5" w:tplc="041A001B" w:tentative="1">
      <w:start w:val="1"/>
      <w:numFmt w:val="lowerRoman"/>
      <w:lvlText w:val="%6."/>
      <w:lvlJc w:val="right"/>
      <w:pPr>
        <w:ind w:left="4005" w:hanging="180"/>
      </w:pPr>
    </w:lvl>
    <w:lvl w:ilvl="6" w:tplc="041A000F" w:tentative="1">
      <w:start w:val="1"/>
      <w:numFmt w:val="decimal"/>
      <w:lvlText w:val="%7."/>
      <w:lvlJc w:val="left"/>
      <w:pPr>
        <w:ind w:left="4725" w:hanging="360"/>
      </w:pPr>
    </w:lvl>
    <w:lvl w:ilvl="7" w:tplc="041A0019" w:tentative="1">
      <w:start w:val="1"/>
      <w:numFmt w:val="lowerLetter"/>
      <w:lvlText w:val="%8."/>
      <w:lvlJc w:val="left"/>
      <w:pPr>
        <w:ind w:left="5445" w:hanging="360"/>
      </w:pPr>
    </w:lvl>
    <w:lvl w:ilvl="8" w:tplc="041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5" w15:restartNumberingAfterBreak="0">
    <w:nsid w:val="373E71BA"/>
    <w:multiLevelType w:val="multilevel"/>
    <w:tmpl w:val="985EDEFA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16" w15:restartNumberingAfterBreak="0">
    <w:nsid w:val="3A661287"/>
    <w:multiLevelType w:val="hybridMultilevel"/>
    <w:tmpl w:val="4D6443A0"/>
    <w:lvl w:ilvl="0" w:tplc="16D07080">
      <w:start w:val="1"/>
      <w:numFmt w:val="decimal"/>
      <w:lvlText w:val="%1-"/>
      <w:lvlJc w:val="left"/>
      <w:pPr>
        <w:ind w:left="39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114" w:hanging="360"/>
      </w:pPr>
    </w:lvl>
    <w:lvl w:ilvl="2" w:tplc="041A001B" w:tentative="1">
      <w:start w:val="1"/>
      <w:numFmt w:val="lowerRoman"/>
      <w:lvlText w:val="%3."/>
      <w:lvlJc w:val="right"/>
      <w:pPr>
        <w:ind w:left="1834" w:hanging="180"/>
      </w:pPr>
    </w:lvl>
    <w:lvl w:ilvl="3" w:tplc="041A000F" w:tentative="1">
      <w:start w:val="1"/>
      <w:numFmt w:val="decimal"/>
      <w:lvlText w:val="%4."/>
      <w:lvlJc w:val="left"/>
      <w:pPr>
        <w:ind w:left="2554" w:hanging="360"/>
      </w:pPr>
    </w:lvl>
    <w:lvl w:ilvl="4" w:tplc="041A0019" w:tentative="1">
      <w:start w:val="1"/>
      <w:numFmt w:val="lowerLetter"/>
      <w:lvlText w:val="%5."/>
      <w:lvlJc w:val="left"/>
      <w:pPr>
        <w:ind w:left="3274" w:hanging="360"/>
      </w:pPr>
    </w:lvl>
    <w:lvl w:ilvl="5" w:tplc="041A001B" w:tentative="1">
      <w:start w:val="1"/>
      <w:numFmt w:val="lowerRoman"/>
      <w:lvlText w:val="%6."/>
      <w:lvlJc w:val="right"/>
      <w:pPr>
        <w:ind w:left="3994" w:hanging="180"/>
      </w:pPr>
    </w:lvl>
    <w:lvl w:ilvl="6" w:tplc="041A000F" w:tentative="1">
      <w:start w:val="1"/>
      <w:numFmt w:val="decimal"/>
      <w:lvlText w:val="%7."/>
      <w:lvlJc w:val="left"/>
      <w:pPr>
        <w:ind w:left="4714" w:hanging="360"/>
      </w:pPr>
    </w:lvl>
    <w:lvl w:ilvl="7" w:tplc="041A0019" w:tentative="1">
      <w:start w:val="1"/>
      <w:numFmt w:val="lowerLetter"/>
      <w:lvlText w:val="%8."/>
      <w:lvlJc w:val="left"/>
      <w:pPr>
        <w:ind w:left="5434" w:hanging="360"/>
      </w:pPr>
    </w:lvl>
    <w:lvl w:ilvl="8" w:tplc="041A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7" w15:restartNumberingAfterBreak="0">
    <w:nsid w:val="428822BD"/>
    <w:multiLevelType w:val="hybridMultilevel"/>
    <w:tmpl w:val="CF8235C2"/>
    <w:lvl w:ilvl="0" w:tplc="7F3ED9BC">
      <w:numFmt w:val="bullet"/>
      <w:lvlText w:val="-"/>
      <w:lvlJc w:val="left"/>
      <w:pPr>
        <w:ind w:left="752" w:hanging="360"/>
      </w:pPr>
      <w:rPr>
        <w:rFonts w:ascii="Cambria" w:eastAsia="Calibri" w:hAnsi="Cambria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18" w15:restartNumberingAfterBreak="0">
    <w:nsid w:val="450800D2"/>
    <w:multiLevelType w:val="hybridMultilevel"/>
    <w:tmpl w:val="41D60616"/>
    <w:lvl w:ilvl="0" w:tplc="EA6A97BC">
      <w:start w:val="1"/>
      <w:numFmt w:val="bullet"/>
      <w:pStyle w:val="Bullet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E1A982C">
      <w:start w:val="1"/>
      <w:numFmt w:val="bullet"/>
      <w:lvlText w:val=""/>
      <w:lvlJc w:val="left"/>
      <w:pPr>
        <w:tabs>
          <w:tab w:val="num" w:pos="1003"/>
        </w:tabs>
        <w:ind w:left="1003" w:hanging="283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Symbo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Symbo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AC641D1"/>
    <w:multiLevelType w:val="hybridMultilevel"/>
    <w:tmpl w:val="5EB838D8"/>
    <w:lvl w:ilvl="0" w:tplc="0426000F">
      <w:start w:val="1"/>
      <w:numFmt w:val="decimal"/>
      <w:lvlText w:val="%1."/>
      <w:lvlJc w:val="left"/>
      <w:pPr>
        <w:ind w:left="392" w:hanging="360"/>
      </w:pPr>
      <w:rPr>
        <w:sz w:val="20"/>
        <w:szCs w:val="20"/>
      </w:rPr>
    </w:lvl>
    <w:lvl w:ilvl="1" w:tplc="04260001">
      <w:start w:val="1"/>
      <w:numFmt w:val="bullet"/>
      <w:lvlText w:val=""/>
      <w:lvlJc w:val="left"/>
      <w:pPr>
        <w:ind w:left="1112" w:hanging="360"/>
      </w:pPr>
      <w:rPr>
        <w:rFonts w:ascii="Symbol" w:hAnsi="Symbol" w:hint="default"/>
      </w:rPr>
    </w:lvl>
    <w:lvl w:ilvl="2" w:tplc="0426001B" w:tentative="1">
      <w:start w:val="1"/>
      <w:numFmt w:val="lowerRoman"/>
      <w:lvlText w:val="%3."/>
      <w:lvlJc w:val="right"/>
      <w:pPr>
        <w:ind w:left="1832" w:hanging="180"/>
      </w:pPr>
    </w:lvl>
    <w:lvl w:ilvl="3" w:tplc="0426000F" w:tentative="1">
      <w:start w:val="1"/>
      <w:numFmt w:val="decimal"/>
      <w:lvlText w:val="%4."/>
      <w:lvlJc w:val="left"/>
      <w:pPr>
        <w:ind w:left="2552" w:hanging="360"/>
      </w:pPr>
    </w:lvl>
    <w:lvl w:ilvl="4" w:tplc="04260019" w:tentative="1">
      <w:start w:val="1"/>
      <w:numFmt w:val="lowerLetter"/>
      <w:lvlText w:val="%5."/>
      <w:lvlJc w:val="left"/>
      <w:pPr>
        <w:ind w:left="3272" w:hanging="360"/>
      </w:pPr>
    </w:lvl>
    <w:lvl w:ilvl="5" w:tplc="0426001B" w:tentative="1">
      <w:start w:val="1"/>
      <w:numFmt w:val="lowerRoman"/>
      <w:lvlText w:val="%6."/>
      <w:lvlJc w:val="right"/>
      <w:pPr>
        <w:ind w:left="3992" w:hanging="180"/>
      </w:pPr>
    </w:lvl>
    <w:lvl w:ilvl="6" w:tplc="0426000F" w:tentative="1">
      <w:start w:val="1"/>
      <w:numFmt w:val="decimal"/>
      <w:lvlText w:val="%7."/>
      <w:lvlJc w:val="left"/>
      <w:pPr>
        <w:ind w:left="4712" w:hanging="360"/>
      </w:pPr>
    </w:lvl>
    <w:lvl w:ilvl="7" w:tplc="04260019" w:tentative="1">
      <w:start w:val="1"/>
      <w:numFmt w:val="lowerLetter"/>
      <w:lvlText w:val="%8."/>
      <w:lvlJc w:val="left"/>
      <w:pPr>
        <w:ind w:left="5432" w:hanging="360"/>
      </w:pPr>
    </w:lvl>
    <w:lvl w:ilvl="8" w:tplc="0426001B" w:tentative="1">
      <w:start w:val="1"/>
      <w:numFmt w:val="lowerRoman"/>
      <w:lvlText w:val="%9."/>
      <w:lvlJc w:val="right"/>
      <w:pPr>
        <w:ind w:left="6152" w:hanging="180"/>
      </w:pPr>
    </w:lvl>
  </w:abstractNum>
  <w:abstractNum w:abstractNumId="20" w15:restartNumberingAfterBreak="0">
    <w:nsid w:val="4B3D307C"/>
    <w:multiLevelType w:val="hybridMultilevel"/>
    <w:tmpl w:val="49128A14"/>
    <w:lvl w:ilvl="0" w:tplc="04260011">
      <w:start w:val="1"/>
      <w:numFmt w:val="decimal"/>
      <w:lvlText w:val="%1)"/>
      <w:lvlJc w:val="left"/>
      <w:pPr>
        <w:ind w:left="720" w:hanging="360"/>
      </w:p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EB32C9"/>
    <w:multiLevelType w:val="hybridMultilevel"/>
    <w:tmpl w:val="2E3899EE"/>
    <w:lvl w:ilvl="0" w:tplc="E5C8B6C4">
      <w:numFmt w:val="bullet"/>
      <w:lvlText w:val="-"/>
      <w:lvlJc w:val="left"/>
      <w:pPr>
        <w:ind w:left="4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044D41"/>
    <w:multiLevelType w:val="hybridMultilevel"/>
    <w:tmpl w:val="FF8A184C"/>
    <w:lvl w:ilvl="0" w:tplc="35346C2C">
      <w:start w:val="1"/>
      <w:numFmt w:val="lowerRoman"/>
      <w:lvlText w:val="(%1)"/>
      <w:lvlJc w:val="left"/>
      <w:pPr>
        <w:ind w:left="644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364" w:hanging="360"/>
      </w:pPr>
    </w:lvl>
    <w:lvl w:ilvl="2" w:tplc="0426001B" w:tentative="1">
      <w:start w:val="1"/>
      <w:numFmt w:val="lowerRoman"/>
      <w:lvlText w:val="%3."/>
      <w:lvlJc w:val="right"/>
      <w:pPr>
        <w:ind w:left="2084" w:hanging="180"/>
      </w:pPr>
    </w:lvl>
    <w:lvl w:ilvl="3" w:tplc="0426000F" w:tentative="1">
      <w:start w:val="1"/>
      <w:numFmt w:val="decimal"/>
      <w:lvlText w:val="%4."/>
      <w:lvlJc w:val="left"/>
      <w:pPr>
        <w:ind w:left="2804" w:hanging="360"/>
      </w:pPr>
    </w:lvl>
    <w:lvl w:ilvl="4" w:tplc="04260019" w:tentative="1">
      <w:start w:val="1"/>
      <w:numFmt w:val="lowerLetter"/>
      <w:lvlText w:val="%5."/>
      <w:lvlJc w:val="left"/>
      <w:pPr>
        <w:ind w:left="3524" w:hanging="360"/>
      </w:pPr>
    </w:lvl>
    <w:lvl w:ilvl="5" w:tplc="0426001B" w:tentative="1">
      <w:start w:val="1"/>
      <w:numFmt w:val="lowerRoman"/>
      <w:lvlText w:val="%6."/>
      <w:lvlJc w:val="right"/>
      <w:pPr>
        <w:ind w:left="4244" w:hanging="180"/>
      </w:pPr>
    </w:lvl>
    <w:lvl w:ilvl="6" w:tplc="0426000F" w:tentative="1">
      <w:start w:val="1"/>
      <w:numFmt w:val="decimal"/>
      <w:lvlText w:val="%7."/>
      <w:lvlJc w:val="left"/>
      <w:pPr>
        <w:ind w:left="4964" w:hanging="360"/>
      </w:pPr>
    </w:lvl>
    <w:lvl w:ilvl="7" w:tplc="04260019" w:tentative="1">
      <w:start w:val="1"/>
      <w:numFmt w:val="lowerLetter"/>
      <w:lvlText w:val="%8."/>
      <w:lvlJc w:val="left"/>
      <w:pPr>
        <w:ind w:left="5684" w:hanging="360"/>
      </w:pPr>
    </w:lvl>
    <w:lvl w:ilvl="8" w:tplc="042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FD25241"/>
    <w:multiLevelType w:val="multilevel"/>
    <w:tmpl w:val="2E109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635C7E86"/>
    <w:multiLevelType w:val="hybridMultilevel"/>
    <w:tmpl w:val="EF228996"/>
    <w:lvl w:ilvl="0" w:tplc="E5C8B6C4">
      <w:numFmt w:val="bullet"/>
      <w:lvlText w:val="-"/>
      <w:lvlJc w:val="left"/>
      <w:pPr>
        <w:ind w:left="4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5" w15:restartNumberingAfterBreak="0">
    <w:nsid w:val="689C7C91"/>
    <w:multiLevelType w:val="hybridMultilevel"/>
    <w:tmpl w:val="9E6890F2"/>
    <w:lvl w:ilvl="0" w:tplc="7F3ED9BC">
      <w:numFmt w:val="bullet"/>
      <w:lvlText w:val="-"/>
      <w:lvlJc w:val="left"/>
      <w:pPr>
        <w:ind w:left="752" w:hanging="360"/>
      </w:pPr>
      <w:rPr>
        <w:rFonts w:ascii="Cambria" w:eastAsia="Calibri" w:hAnsi="Cambria" w:cs="Times New Roman" w:hint="default"/>
      </w:rPr>
    </w:lvl>
    <w:lvl w:ilvl="1" w:tplc="04260003" w:tentative="1">
      <w:start w:val="1"/>
      <w:numFmt w:val="bullet"/>
      <w:lvlText w:val="o"/>
      <w:lvlJc w:val="left"/>
      <w:pPr>
        <w:ind w:left="1472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92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912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32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52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72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92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512" w:hanging="360"/>
      </w:pPr>
      <w:rPr>
        <w:rFonts w:ascii="Wingdings" w:hAnsi="Wingdings" w:hint="default"/>
      </w:rPr>
    </w:lvl>
  </w:abstractNum>
  <w:abstractNum w:abstractNumId="26" w15:restartNumberingAfterBreak="0">
    <w:nsid w:val="6B7B0CC0"/>
    <w:multiLevelType w:val="hybridMultilevel"/>
    <w:tmpl w:val="0158E32A"/>
    <w:lvl w:ilvl="0" w:tplc="F8D6B0AA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4" w:hanging="360"/>
      </w:pPr>
    </w:lvl>
    <w:lvl w:ilvl="2" w:tplc="0409001B" w:tentative="1">
      <w:start w:val="1"/>
      <w:numFmt w:val="lowerRoman"/>
      <w:lvlText w:val="%3."/>
      <w:lvlJc w:val="right"/>
      <w:pPr>
        <w:ind w:left="1834" w:hanging="180"/>
      </w:pPr>
    </w:lvl>
    <w:lvl w:ilvl="3" w:tplc="0409000F" w:tentative="1">
      <w:start w:val="1"/>
      <w:numFmt w:val="decimal"/>
      <w:lvlText w:val="%4."/>
      <w:lvlJc w:val="left"/>
      <w:pPr>
        <w:ind w:left="2554" w:hanging="360"/>
      </w:pPr>
    </w:lvl>
    <w:lvl w:ilvl="4" w:tplc="04090019" w:tentative="1">
      <w:start w:val="1"/>
      <w:numFmt w:val="lowerLetter"/>
      <w:lvlText w:val="%5."/>
      <w:lvlJc w:val="left"/>
      <w:pPr>
        <w:ind w:left="3274" w:hanging="360"/>
      </w:pPr>
    </w:lvl>
    <w:lvl w:ilvl="5" w:tplc="0409001B" w:tentative="1">
      <w:start w:val="1"/>
      <w:numFmt w:val="lowerRoman"/>
      <w:lvlText w:val="%6."/>
      <w:lvlJc w:val="right"/>
      <w:pPr>
        <w:ind w:left="3994" w:hanging="180"/>
      </w:pPr>
    </w:lvl>
    <w:lvl w:ilvl="6" w:tplc="0409000F" w:tentative="1">
      <w:start w:val="1"/>
      <w:numFmt w:val="decimal"/>
      <w:lvlText w:val="%7."/>
      <w:lvlJc w:val="left"/>
      <w:pPr>
        <w:ind w:left="4714" w:hanging="360"/>
      </w:pPr>
    </w:lvl>
    <w:lvl w:ilvl="7" w:tplc="04090019" w:tentative="1">
      <w:start w:val="1"/>
      <w:numFmt w:val="lowerLetter"/>
      <w:lvlText w:val="%8."/>
      <w:lvlJc w:val="left"/>
      <w:pPr>
        <w:ind w:left="5434" w:hanging="360"/>
      </w:pPr>
    </w:lvl>
    <w:lvl w:ilvl="8" w:tplc="040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7" w15:restartNumberingAfterBreak="0">
    <w:nsid w:val="6D8E1E11"/>
    <w:multiLevelType w:val="hybridMultilevel"/>
    <w:tmpl w:val="309E7FB6"/>
    <w:lvl w:ilvl="0" w:tplc="A0B239B4">
      <w:start w:val="1"/>
      <w:numFmt w:val="decimal"/>
      <w:lvlText w:val="%1)"/>
      <w:lvlJc w:val="left"/>
      <w:pPr>
        <w:ind w:left="720" w:hanging="360"/>
      </w:pPr>
      <w:rPr>
        <w:rFonts w:cs="Verdana" w:hint="default"/>
        <w:color w:val="000000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0C64FD"/>
    <w:multiLevelType w:val="hybridMultilevel"/>
    <w:tmpl w:val="12AE1390"/>
    <w:lvl w:ilvl="0" w:tplc="E5C8B6C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175927"/>
    <w:multiLevelType w:val="hybridMultilevel"/>
    <w:tmpl w:val="AAB204FE"/>
    <w:lvl w:ilvl="0" w:tplc="3EC8FA3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3A61BB"/>
    <w:multiLevelType w:val="hybridMultilevel"/>
    <w:tmpl w:val="43883ED0"/>
    <w:lvl w:ilvl="0" w:tplc="35346C2C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E5726B"/>
    <w:multiLevelType w:val="hybridMultilevel"/>
    <w:tmpl w:val="580AD982"/>
    <w:lvl w:ilvl="0" w:tplc="89AAE7C6">
      <w:numFmt w:val="bullet"/>
      <w:lvlText w:val="-"/>
      <w:lvlJc w:val="left"/>
      <w:pPr>
        <w:ind w:left="39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2" w15:restartNumberingAfterBreak="0">
    <w:nsid w:val="7E107918"/>
    <w:multiLevelType w:val="hybridMultilevel"/>
    <w:tmpl w:val="888836E2"/>
    <w:lvl w:ilvl="0" w:tplc="F266DBDE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9"/>
  </w:num>
  <w:num w:numId="3">
    <w:abstractNumId w:val="10"/>
  </w:num>
  <w:num w:numId="4">
    <w:abstractNumId w:val="19"/>
  </w:num>
  <w:num w:numId="5">
    <w:abstractNumId w:val="3"/>
  </w:num>
  <w:num w:numId="6">
    <w:abstractNumId w:val="17"/>
  </w:num>
  <w:num w:numId="7">
    <w:abstractNumId w:val="2"/>
  </w:num>
  <w:num w:numId="8">
    <w:abstractNumId w:val="25"/>
  </w:num>
  <w:num w:numId="9">
    <w:abstractNumId w:val="20"/>
  </w:num>
  <w:num w:numId="10">
    <w:abstractNumId w:val="11"/>
  </w:num>
  <w:num w:numId="11">
    <w:abstractNumId w:val="16"/>
  </w:num>
  <w:num w:numId="12">
    <w:abstractNumId w:val="14"/>
  </w:num>
  <w:num w:numId="13">
    <w:abstractNumId w:val="24"/>
  </w:num>
  <w:num w:numId="14">
    <w:abstractNumId w:val="21"/>
  </w:num>
  <w:num w:numId="15">
    <w:abstractNumId w:val="13"/>
  </w:num>
  <w:num w:numId="16">
    <w:abstractNumId w:val="28"/>
  </w:num>
  <w:num w:numId="17">
    <w:abstractNumId w:val="1"/>
  </w:num>
  <w:num w:numId="18">
    <w:abstractNumId w:val="23"/>
  </w:num>
  <w:num w:numId="19">
    <w:abstractNumId w:val="29"/>
  </w:num>
  <w:num w:numId="20">
    <w:abstractNumId w:val="32"/>
  </w:num>
  <w:num w:numId="21">
    <w:abstractNumId w:val="30"/>
  </w:num>
  <w:num w:numId="22">
    <w:abstractNumId w:val="0"/>
  </w:num>
  <w:num w:numId="23">
    <w:abstractNumId w:val="5"/>
  </w:num>
  <w:num w:numId="24">
    <w:abstractNumId w:val="27"/>
  </w:num>
  <w:num w:numId="25">
    <w:abstractNumId w:val="15"/>
  </w:num>
  <w:num w:numId="26">
    <w:abstractNumId w:val="22"/>
  </w:num>
  <w:num w:numId="27">
    <w:abstractNumId w:val="6"/>
  </w:num>
  <w:num w:numId="28">
    <w:abstractNumId w:val="8"/>
  </w:num>
  <w:num w:numId="29">
    <w:abstractNumId w:val="4"/>
  </w:num>
  <w:num w:numId="30">
    <w:abstractNumId w:val="12"/>
  </w:num>
  <w:num w:numId="31">
    <w:abstractNumId w:val="31"/>
  </w:num>
  <w:num w:numId="32">
    <w:abstractNumId w:val="7"/>
  </w:num>
  <w:num w:numId="33">
    <w:abstractNumId w:val="26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72D9"/>
    <w:rsid w:val="00004379"/>
    <w:rsid w:val="00005D3F"/>
    <w:rsid w:val="00005F99"/>
    <w:rsid w:val="0000734B"/>
    <w:rsid w:val="00007924"/>
    <w:rsid w:val="000118AF"/>
    <w:rsid w:val="00011A83"/>
    <w:rsid w:val="0001276E"/>
    <w:rsid w:val="000134A5"/>
    <w:rsid w:val="00017E68"/>
    <w:rsid w:val="0002334C"/>
    <w:rsid w:val="00024D02"/>
    <w:rsid w:val="00026577"/>
    <w:rsid w:val="00026ADB"/>
    <w:rsid w:val="00027975"/>
    <w:rsid w:val="00030DAA"/>
    <w:rsid w:val="00032FFA"/>
    <w:rsid w:val="00034EB9"/>
    <w:rsid w:val="0003763B"/>
    <w:rsid w:val="00037DDC"/>
    <w:rsid w:val="0004193D"/>
    <w:rsid w:val="00043A44"/>
    <w:rsid w:val="00045352"/>
    <w:rsid w:val="00046DC5"/>
    <w:rsid w:val="00052096"/>
    <w:rsid w:val="0005229A"/>
    <w:rsid w:val="00056963"/>
    <w:rsid w:val="00056B84"/>
    <w:rsid w:val="000570C6"/>
    <w:rsid w:val="000616E6"/>
    <w:rsid w:val="0006385B"/>
    <w:rsid w:val="000663E1"/>
    <w:rsid w:val="00070DD2"/>
    <w:rsid w:val="00071734"/>
    <w:rsid w:val="0007253F"/>
    <w:rsid w:val="000773CA"/>
    <w:rsid w:val="00077854"/>
    <w:rsid w:val="000818F6"/>
    <w:rsid w:val="00083D31"/>
    <w:rsid w:val="00085E95"/>
    <w:rsid w:val="000865F2"/>
    <w:rsid w:val="00086875"/>
    <w:rsid w:val="00090FF3"/>
    <w:rsid w:val="000924DB"/>
    <w:rsid w:val="000933A9"/>
    <w:rsid w:val="00096B44"/>
    <w:rsid w:val="000978EE"/>
    <w:rsid w:val="000A04A8"/>
    <w:rsid w:val="000A0BFF"/>
    <w:rsid w:val="000A1103"/>
    <w:rsid w:val="000A17F0"/>
    <w:rsid w:val="000A1C24"/>
    <w:rsid w:val="000A275C"/>
    <w:rsid w:val="000A4A05"/>
    <w:rsid w:val="000A5A02"/>
    <w:rsid w:val="000A7EDA"/>
    <w:rsid w:val="000B07C1"/>
    <w:rsid w:val="000B1A93"/>
    <w:rsid w:val="000B4A11"/>
    <w:rsid w:val="000B5F8C"/>
    <w:rsid w:val="000B65A4"/>
    <w:rsid w:val="000B67B0"/>
    <w:rsid w:val="000B68D5"/>
    <w:rsid w:val="000B68FC"/>
    <w:rsid w:val="000B73B8"/>
    <w:rsid w:val="000C070D"/>
    <w:rsid w:val="000C12A7"/>
    <w:rsid w:val="000C1715"/>
    <w:rsid w:val="000C21B1"/>
    <w:rsid w:val="000C4816"/>
    <w:rsid w:val="000D0FF6"/>
    <w:rsid w:val="000D105D"/>
    <w:rsid w:val="000D226F"/>
    <w:rsid w:val="000D30E6"/>
    <w:rsid w:val="000D318B"/>
    <w:rsid w:val="000D6223"/>
    <w:rsid w:val="000E0F06"/>
    <w:rsid w:val="000E0F10"/>
    <w:rsid w:val="000E71C3"/>
    <w:rsid w:val="000F0F9C"/>
    <w:rsid w:val="000F2E77"/>
    <w:rsid w:val="000F386A"/>
    <w:rsid w:val="000F3953"/>
    <w:rsid w:val="000F496D"/>
    <w:rsid w:val="000F4C6B"/>
    <w:rsid w:val="000F4EA0"/>
    <w:rsid w:val="000F5929"/>
    <w:rsid w:val="000F7CFC"/>
    <w:rsid w:val="00101CF6"/>
    <w:rsid w:val="00101DC6"/>
    <w:rsid w:val="00103143"/>
    <w:rsid w:val="00103E91"/>
    <w:rsid w:val="0011047D"/>
    <w:rsid w:val="001104E3"/>
    <w:rsid w:val="00111583"/>
    <w:rsid w:val="00111923"/>
    <w:rsid w:val="00111C25"/>
    <w:rsid w:val="00121D96"/>
    <w:rsid w:val="001241C6"/>
    <w:rsid w:val="0012442B"/>
    <w:rsid w:val="001253D5"/>
    <w:rsid w:val="001264FC"/>
    <w:rsid w:val="0012738B"/>
    <w:rsid w:val="001274E1"/>
    <w:rsid w:val="0013042D"/>
    <w:rsid w:val="00131289"/>
    <w:rsid w:val="001319BD"/>
    <w:rsid w:val="00135ACF"/>
    <w:rsid w:val="00140EC1"/>
    <w:rsid w:val="001430DE"/>
    <w:rsid w:val="001446DA"/>
    <w:rsid w:val="001449CE"/>
    <w:rsid w:val="00144FBD"/>
    <w:rsid w:val="00146756"/>
    <w:rsid w:val="00152380"/>
    <w:rsid w:val="0015384F"/>
    <w:rsid w:val="00154A8E"/>
    <w:rsid w:val="00155CA0"/>
    <w:rsid w:val="001565A6"/>
    <w:rsid w:val="00160315"/>
    <w:rsid w:val="00161624"/>
    <w:rsid w:val="00163490"/>
    <w:rsid w:val="0016376D"/>
    <w:rsid w:val="00170CC3"/>
    <w:rsid w:val="00170EDF"/>
    <w:rsid w:val="001712C2"/>
    <w:rsid w:val="00173407"/>
    <w:rsid w:val="00174317"/>
    <w:rsid w:val="001757B1"/>
    <w:rsid w:val="0017650C"/>
    <w:rsid w:val="001767F0"/>
    <w:rsid w:val="00181418"/>
    <w:rsid w:val="00181A7A"/>
    <w:rsid w:val="00182294"/>
    <w:rsid w:val="00182FAA"/>
    <w:rsid w:val="0018356D"/>
    <w:rsid w:val="00184083"/>
    <w:rsid w:val="00187AEE"/>
    <w:rsid w:val="00190220"/>
    <w:rsid w:val="00190F58"/>
    <w:rsid w:val="001918BD"/>
    <w:rsid w:val="0019232D"/>
    <w:rsid w:val="001945FC"/>
    <w:rsid w:val="00194A04"/>
    <w:rsid w:val="00197130"/>
    <w:rsid w:val="0019718E"/>
    <w:rsid w:val="00197AE5"/>
    <w:rsid w:val="001A03B0"/>
    <w:rsid w:val="001A262D"/>
    <w:rsid w:val="001A2E70"/>
    <w:rsid w:val="001A4011"/>
    <w:rsid w:val="001A4E11"/>
    <w:rsid w:val="001A62AA"/>
    <w:rsid w:val="001A6F8E"/>
    <w:rsid w:val="001B13AB"/>
    <w:rsid w:val="001B1E22"/>
    <w:rsid w:val="001B517F"/>
    <w:rsid w:val="001B55D6"/>
    <w:rsid w:val="001B7DCF"/>
    <w:rsid w:val="001C4C3B"/>
    <w:rsid w:val="001D0F4A"/>
    <w:rsid w:val="001D10FF"/>
    <w:rsid w:val="001D178D"/>
    <w:rsid w:val="001D19F8"/>
    <w:rsid w:val="001D4928"/>
    <w:rsid w:val="001D4B63"/>
    <w:rsid w:val="001D7143"/>
    <w:rsid w:val="001D7478"/>
    <w:rsid w:val="001E027D"/>
    <w:rsid w:val="001E30B6"/>
    <w:rsid w:val="001E58EC"/>
    <w:rsid w:val="001E6130"/>
    <w:rsid w:val="001E6C08"/>
    <w:rsid w:val="001E703A"/>
    <w:rsid w:val="001E7E91"/>
    <w:rsid w:val="001F5B66"/>
    <w:rsid w:val="001F5CC7"/>
    <w:rsid w:val="001F7BBD"/>
    <w:rsid w:val="001F7D0C"/>
    <w:rsid w:val="002001C8"/>
    <w:rsid w:val="00201938"/>
    <w:rsid w:val="00201A3D"/>
    <w:rsid w:val="00202E98"/>
    <w:rsid w:val="00210D1C"/>
    <w:rsid w:val="00212575"/>
    <w:rsid w:val="002131CE"/>
    <w:rsid w:val="002145F5"/>
    <w:rsid w:val="00215271"/>
    <w:rsid w:val="00215509"/>
    <w:rsid w:val="00216A2E"/>
    <w:rsid w:val="00223537"/>
    <w:rsid w:val="002236CA"/>
    <w:rsid w:val="00223738"/>
    <w:rsid w:val="00223842"/>
    <w:rsid w:val="0022471A"/>
    <w:rsid w:val="002269BE"/>
    <w:rsid w:val="00226DE1"/>
    <w:rsid w:val="002275D8"/>
    <w:rsid w:val="00231298"/>
    <w:rsid w:val="002315C8"/>
    <w:rsid w:val="00232810"/>
    <w:rsid w:val="00234082"/>
    <w:rsid w:val="0023506C"/>
    <w:rsid w:val="002362C0"/>
    <w:rsid w:val="00236F95"/>
    <w:rsid w:val="0023751C"/>
    <w:rsid w:val="00242DBB"/>
    <w:rsid w:val="00243998"/>
    <w:rsid w:val="00243BE1"/>
    <w:rsid w:val="00253B17"/>
    <w:rsid w:val="002558EC"/>
    <w:rsid w:val="00255BD1"/>
    <w:rsid w:val="002613F8"/>
    <w:rsid w:val="00264C37"/>
    <w:rsid w:val="00266705"/>
    <w:rsid w:val="00266E5A"/>
    <w:rsid w:val="002702D7"/>
    <w:rsid w:val="002719CB"/>
    <w:rsid w:val="002727F1"/>
    <w:rsid w:val="0027550A"/>
    <w:rsid w:val="002756E6"/>
    <w:rsid w:val="00275C8B"/>
    <w:rsid w:val="002768A7"/>
    <w:rsid w:val="002772BB"/>
    <w:rsid w:val="00283153"/>
    <w:rsid w:val="002839FD"/>
    <w:rsid w:val="00284D7D"/>
    <w:rsid w:val="00284DC6"/>
    <w:rsid w:val="0028526C"/>
    <w:rsid w:val="00287FC5"/>
    <w:rsid w:val="002903E2"/>
    <w:rsid w:val="00292664"/>
    <w:rsid w:val="00296545"/>
    <w:rsid w:val="002A2096"/>
    <w:rsid w:val="002A3388"/>
    <w:rsid w:val="002A3B84"/>
    <w:rsid w:val="002A5792"/>
    <w:rsid w:val="002B0D02"/>
    <w:rsid w:val="002B1C19"/>
    <w:rsid w:val="002B2C90"/>
    <w:rsid w:val="002B347C"/>
    <w:rsid w:val="002B3DBD"/>
    <w:rsid w:val="002B4E89"/>
    <w:rsid w:val="002B5839"/>
    <w:rsid w:val="002B5C42"/>
    <w:rsid w:val="002B6095"/>
    <w:rsid w:val="002B62C6"/>
    <w:rsid w:val="002C2875"/>
    <w:rsid w:val="002C6802"/>
    <w:rsid w:val="002C6F26"/>
    <w:rsid w:val="002C75DD"/>
    <w:rsid w:val="002D0256"/>
    <w:rsid w:val="002D1687"/>
    <w:rsid w:val="002D1AEF"/>
    <w:rsid w:val="002D1FE0"/>
    <w:rsid w:val="002D3615"/>
    <w:rsid w:val="002D4788"/>
    <w:rsid w:val="002D59D6"/>
    <w:rsid w:val="002D6D67"/>
    <w:rsid w:val="002D7A3F"/>
    <w:rsid w:val="002E007A"/>
    <w:rsid w:val="002E077F"/>
    <w:rsid w:val="002E1669"/>
    <w:rsid w:val="002E4030"/>
    <w:rsid w:val="002E440A"/>
    <w:rsid w:val="002E5FE0"/>
    <w:rsid w:val="002F190C"/>
    <w:rsid w:val="002F1BFE"/>
    <w:rsid w:val="002F6D8F"/>
    <w:rsid w:val="00300470"/>
    <w:rsid w:val="00301B7C"/>
    <w:rsid w:val="00301F40"/>
    <w:rsid w:val="003114C6"/>
    <w:rsid w:val="00311B59"/>
    <w:rsid w:val="00313427"/>
    <w:rsid w:val="003165B8"/>
    <w:rsid w:val="00323218"/>
    <w:rsid w:val="0032357A"/>
    <w:rsid w:val="00323AC1"/>
    <w:rsid w:val="0032467A"/>
    <w:rsid w:val="00325CA2"/>
    <w:rsid w:val="00332C67"/>
    <w:rsid w:val="0033314C"/>
    <w:rsid w:val="003339DA"/>
    <w:rsid w:val="0033448E"/>
    <w:rsid w:val="0033474B"/>
    <w:rsid w:val="003366CA"/>
    <w:rsid w:val="00337FB8"/>
    <w:rsid w:val="00340905"/>
    <w:rsid w:val="00341412"/>
    <w:rsid w:val="00341984"/>
    <w:rsid w:val="003425B8"/>
    <w:rsid w:val="0034550D"/>
    <w:rsid w:val="0034571A"/>
    <w:rsid w:val="00345F9D"/>
    <w:rsid w:val="00346650"/>
    <w:rsid w:val="00346BDD"/>
    <w:rsid w:val="0035605C"/>
    <w:rsid w:val="00360771"/>
    <w:rsid w:val="00363FF1"/>
    <w:rsid w:val="0036551D"/>
    <w:rsid w:val="0036656E"/>
    <w:rsid w:val="00366749"/>
    <w:rsid w:val="00367C0A"/>
    <w:rsid w:val="00370710"/>
    <w:rsid w:val="003708B7"/>
    <w:rsid w:val="0037368D"/>
    <w:rsid w:val="00373D5A"/>
    <w:rsid w:val="0037644B"/>
    <w:rsid w:val="00376921"/>
    <w:rsid w:val="00380443"/>
    <w:rsid w:val="003867A0"/>
    <w:rsid w:val="00387449"/>
    <w:rsid w:val="003906F8"/>
    <w:rsid w:val="0039089C"/>
    <w:rsid w:val="003909A8"/>
    <w:rsid w:val="00391221"/>
    <w:rsid w:val="00391E68"/>
    <w:rsid w:val="00392F4F"/>
    <w:rsid w:val="0039494D"/>
    <w:rsid w:val="003952A3"/>
    <w:rsid w:val="00396312"/>
    <w:rsid w:val="0039632C"/>
    <w:rsid w:val="003969F2"/>
    <w:rsid w:val="003975B3"/>
    <w:rsid w:val="003A28E5"/>
    <w:rsid w:val="003A2F3B"/>
    <w:rsid w:val="003A502A"/>
    <w:rsid w:val="003A5B98"/>
    <w:rsid w:val="003A616E"/>
    <w:rsid w:val="003B02DF"/>
    <w:rsid w:val="003B0A35"/>
    <w:rsid w:val="003B132A"/>
    <w:rsid w:val="003B1E96"/>
    <w:rsid w:val="003B240B"/>
    <w:rsid w:val="003B34AB"/>
    <w:rsid w:val="003B5A71"/>
    <w:rsid w:val="003C30C1"/>
    <w:rsid w:val="003D325D"/>
    <w:rsid w:val="003D38DE"/>
    <w:rsid w:val="003D685E"/>
    <w:rsid w:val="003E0CD7"/>
    <w:rsid w:val="003E3EA8"/>
    <w:rsid w:val="003E530B"/>
    <w:rsid w:val="003E5D62"/>
    <w:rsid w:val="003E6B2F"/>
    <w:rsid w:val="003E6D8A"/>
    <w:rsid w:val="003E7484"/>
    <w:rsid w:val="003F1FCE"/>
    <w:rsid w:val="003F3AC3"/>
    <w:rsid w:val="003F4055"/>
    <w:rsid w:val="003F5C44"/>
    <w:rsid w:val="003F7E29"/>
    <w:rsid w:val="00402F2C"/>
    <w:rsid w:val="004140B8"/>
    <w:rsid w:val="004141C3"/>
    <w:rsid w:val="00416435"/>
    <w:rsid w:val="00417F29"/>
    <w:rsid w:val="00421C55"/>
    <w:rsid w:val="00423395"/>
    <w:rsid w:val="00425A0F"/>
    <w:rsid w:val="004322B4"/>
    <w:rsid w:val="00432D7E"/>
    <w:rsid w:val="00434105"/>
    <w:rsid w:val="00436145"/>
    <w:rsid w:val="004410D6"/>
    <w:rsid w:val="0044387C"/>
    <w:rsid w:val="00450A1A"/>
    <w:rsid w:val="00451782"/>
    <w:rsid w:val="00452E3C"/>
    <w:rsid w:val="00453111"/>
    <w:rsid w:val="00454254"/>
    <w:rsid w:val="00455B2E"/>
    <w:rsid w:val="00455B95"/>
    <w:rsid w:val="00456E14"/>
    <w:rsid w:val="00460645"/>
    <w:rsid w:val="0046294C"/>
    <w:rsid w:val="004643FC"/>
    <w:rsid w:val="00466445"/>
    <w:rsid w:val="004671A0"/>
    <w:rsid w:val="00474F2F"/>
    <w:rsid w:val="00474F58"/>
    <w:rsid w:val="00477033"/>
    <w:rsid w:val="00480A30"/>
    <w:rsid w:val="0048195A"/>
    <w:rsid w:val="0048439B"/>
    <w:rsid w:val="00490A17"/>
    <w:rsid w:val="00493107"/>
    <w:rsid w:val="004938A7"/>
    <w:rsid w:val="004A25BF"/>
    <w:rsid w:val="004A3AEC"/>
    <w:rsid w:val="004A3EFA"/>
    <w:rsid w:val="004A7FAD"/>
    <w:rsid w:val="004B460B"/>
    <w:rsid w:val="004B4D74"/>
    <w:rsid w:val="004B5D96"/>
    <w:rsid w:val="004B6594"/>
    <w:rsid w:val="004C167E"/>
    <w:rsid w:val="004C1F76"/>
    <w:rsid w:val="004C3531"/>
    <w:rsid w:val="004C4002"/>
    <w:rsid w:val="004C45A7"/>
    <w:rsid w:val="004C5301"/>
    <w:rsid w:val="004C704B"/>
    <w:rsid w:val="004C769D"/>
    <w:rsid w:val="004D10B0"/>
    <w:rsid w:val="004D38E2"/>
    <w:rsid w:val="004D5941"/>
    <w:rsid w:val="004D6E5D"/>
    <w:rsid w:val="004E0567"/>
    <w:rsid w:val="004E27FB"/>
    <w:rsid w:val="004E2A05"/>
    <w:rsid w:val="004E5C08"/>
    <w:rsid w:val="004E61AF"/>
    <w:rsid w:val="004F2377"/>
    <w:rsid w:val="004F23D0"/>
    <w:rsid w:val="004F39D3"/>
    <w:rsid w:val="004F55E1"/>
    <w:rsid w:val="004F67EA"/>
    <w:rsid w:val="00503498"/>
    <w:rsid w:val="00505CA3"/>
    <w:rsid w:val="0051040D"/>
    <w:rsid w:val="00511314"/>
    <w:rsid w:val="005129AB"/>
    <w:rsid w:val="00513FFE"/>
    <w:rsid w:val="005156A6"/>
    <w:rsid w:val="005270D9"/>
    <w:rsid w:val="00530B21"/>
    <w:rsid w:val="00530B55"/>
    <w:rsid w:val="0053298D"/>
    <w:rsid w:val="00532A0C"/>
    <w:rsid w:val="005332E9"/>
    <w:rsid w:val="005371AB"/>
    <w:rsid w:val="00537C32"/>
    <w:rsid w:val="00541C66"/>
    <w:rsid w:val="00543FE5"/>
    <w:rsid w:val="0054523F"/>
    <w:rsid w:val="00545957"/>
    <w:rsid w:val="00550206"/>
    <w:rsid w:val="00550F24"/>
    <w:rsid w:val="00550F29"/>
    <w:rsid w:val="00551548"/>
    <w:rsid w:val="00551FB2"/>
    <w:rsid w:val="00552FFB"/>
    <w:rsid w:val="00560A31"/>
    <w:rsid w:val="005619A5"/>
    <w:rsid w:val="005655F1"/>
    <w:rsid w:val="00570C28"/>
    <w:rsid w:val="00571EFD"/>
    <w:rsid w:val="005732BD"/>
    <w:rsid w:val="00577CE6"/>
    <w:rsid w:val="00583E22"/>
    <w:rsid w:val="005841C7"/>
    <w:rsid w:val="00584679"/>
    <w:rsid w:val="005864C8"/>
    <w:rsid w:val="00587CB7"/>
    <w:rsid w:val="005905B2"/>
    <w:rsid w:val="0059389A"/>
    <w:rsid w:val="00595AA1"/>
    <w:rsid w:val="00597A1D"/>
    <w:rsid w:val="005A056F"/>
    <w:rsid w:val="005A14F4"/>
    <w:rsid w:val="005A188A"/>
    <w:rsid w:val="005A79DD"/>
    <w:rsid w:val="005B1048"/>
    <w:rsid w:val="005B3F5D"/>
    <w:rsid w:val="005B4C00"/>
    <w:rsid w:val="005B5791"/>
    <w:rsid w:val="005B58A3"/>
    <w:rsid w:val="005B59F2"/>
    <w:rsid w:val="005B5C0A"/>
    <w:rsid w:val="005B653B"/>
    <w:rsid w:val="005B70E2"/>
    <w:rsid w:val="005C21B9"/>
    <w:rsid w:val="005C2AA2"/>
    <w:rsid w:val="005C3B3A"/>
    <w:rsid w:val="005C57D4"/>
    <w:rsid w:val="005C65DE"/>
    <w:rsid w:val="005C72BA"/>
    <w:rsid w:val="005D069D"/>
    <w:rsid w:val="005D0BE8"/>
    <w:rsid w:val="005D53BF"/>
    <w:rsid w:val="005D5559"/>
    <w:rsid w:val="005D5D3A"/>
    <w:rsid w:val="005D5D89"/>
    <w:rsid w:val="005D5E59"/>
    <w:rsid w:val="005D72FD"/>
    <w:rsid w:val="005D7EC4"/>
    <w:rsid w:val="005E1036"/>
    <w:rsid w:val="005E49D9"/>
    <w:rsid w:val="005F1FB9"/>
    <w:rsid w:val="005F37CC"/>
    <w:rsid w:val="005F3FC3"/>
    <w:rsid w:val="005F4C06"/>
    <w:rsid w:val="005F4F8B"/>
    <w:rsid w:val="005F5178"/>
    <w:rsid w:val="005F6519"/>
    <w:rsid w:val="005F7EA2"/>
    <w:rsid w:val="00604B08"/>
    <w:rsid w:val="00606A99"/>
    <w:rsid w:val="00610697"/>
    <w:rsid w:val="0061467D"/>
    <w:rsid w:val="006158E6"/>
    <w:rsid w:val="006209E3"/>
    <w:rsid w:val="00622783"/>
    <w:rsid w:val="00622827"/>
    <w:rsid w:val="0062493B"/>
    <w:rsid w:val="00624AA5"/>
    <w:rsid w:val="00627177"/>
    <w:rsid w:val="0063008D"/>
    <w:rsid w:val="00632981"/>
    <w:rsid w:val="006408BF"/>
    <w:rsid w:val="006420FB"/>
    <w:rsid w:val="006439EB"/>
    <w:rsid w:val="006442ED"/>
    <w:rsid w:val="00644868"/>
    <w:rsid w:val="00646E7A"/>
    <w:rsid w:val="00646EFA"/>
    <w:rsid w:val="006472F9"/>
    <w:rsid w:val="00650419"/>
    <w:rsid w:val="0065138E"/>
    <w:rsid w:val="00651C20"/>
    <w:rsid w:val="0065236D"/>
    <w:rsid w:val="006561A8"/>
    <w:rsid w:val="006563C1"/>
    <w:rsid w:val="00656F76"/>
    <w:rsid w:val="00657B62"/>
    <w:rsid w:val="006608C2"/>
    <w:rsid w:val="00663EF7"/>
    <w:rsid w:val="00670368"/>
    <w:rsid w:val="00674A99"/>
    <w:rsid w:val="00675EE0"/>
    <w:rsid w:val="00676F47"/>
    <w:rsid w:val="00677448"/>
    <w:rsid w:val="00681AB9"/>
    <w:rsid w:val="00684FBD"/>
    <w:rsid w:val="006856D9"/>
    <w:rsid w:val="00693278"/>
    <w:rsid w:val="00693A4B"/>
    <w:rsid w:val="00695488"/>
    <w:rsid w:val="00695623"/>
    <w:rsid w:val="006A084C"/>
    <w:rsid w:val="006A0DC6"/>
    <w:rsid w:val="006A3917"/>
    <w:rsid w:val="006A3919"/>
    <w:rsid w:val="006A6A45"/>
    <w:rsid w:val="006A6B91"/>
    <w:rsid w:val="006A7467"/>
    <w:rsid w:val="006A7D43"/>
    <w:rsid w:val="006B6252"/>
    <w:rsid w:val="006B62D5"/>
    <w:rsid w:val="006B6D03"/>
    <w:rsid w:val="006C396C"/>
    <w:rsid w:val="006C54B4"/>
    <w:rsid w:val="006D1018"/>
    <w:rsid w:val="006D1097"/>
    <w:rsid w:val="006D1683"/>
    <w:rsid w:val="006D6ADD"/>
    <w:rsid w:val="006E0672"/>
    <w:rsid w:val="006E22FC"/>
    <w:rsid w:val="006E26CB"/>
    <w:rsid w:val="006E414C"/>
    <w:rsid w:val="006E6F21"/>
    <w:rsid w:val="006F1FDC"/>
    <w:rsid w:val="006F5951"/>
    <w:rsid w:val="006F6D9E"/>
    <w:rsid w:val="006F6F6C"/>
    <w:rsid w:val="006F7993"/>
    <w:rsid w:val="00700408"/>
    <w:rsid w:val="00700831"/>
    <w:rsid w:val="00701958"/>
    <w:rsid w:val="00705E7F"/>
    <w:rsid w:val="00706679"/>
    <w:rsid w:val="00706EE4"/>
    <w:rsid w:val="00707369"/>
    <w:rsid w:val="00710315"/>
    <w:rsid w:val="00710DB9"/>
    <w:rsid w:val="0071108F"/>
    <w:rsid w:val="007127DF"/>
    <w:rsid w:val="00713AE0"/>
    <w:rsid w:val="007150CB"/>
    <w:rsid w:val="00716A11"/>
    <w:rsid w:val="00721136"/>
    <w:rsid w:val="00721489"/>
    <w:rsid w:val="00721E27"/>
    <w:rsid w:val="0072239B"/>
    <w:rsid w:val="00722C39"/>
    <w:rsid w:val="00725E9D"/>
    <w:rsid w:val="007262FC"/>
    <w:rsid w:val="00730548"/>
    <w:rsid w:val="007312AB"/>
    <w:rsid w:val="00731845"/>
    <w:rsid w:val="007328A0"/>
    <w:rsid w:val="007342DC"/>
    <w:rsid w:val="0073459D"/>
    <w:rsid w:val="00735355"/>
    <w:rsid w:val="007373E2"/>
    <w:rsid w:val="00742E7A"/>
    <w:rsid w:val="007434E9"/>
    <w:rsid w:val="007454AE"/>
    <w:rsid w:val="007527E1"/>
    <w:rsid w:val="00754612"/>
    <w:rsid w:val="007560CE"/>
    <w:rsid w:val="007579BC"/>
    <w:rsid w:val="00757A61"/>
    <w:rsid w:val="00761CA0"/>
    <w:rsid w:val="00762046"/>
    <w:rsid w:val="00762931"/>
    <w:rsid w:val="00763B6E"/>
    <w:rsid w:val="007642D6"/>
    <w:rsid w:val="00764898"/>
    <w:rsid w:val="00764FF6"/>
    <w:rsid w:val="00772244"/>
    <w:rsid w:val="007754A5"/>
    <w:rsid w:val="00775AAE"/>
    <w:rsid w:val="007761CD"/>
    <w:rsid w:val="00780227"/>
    <w:rsid w:val="007828AD"/>
    <w:rsid w:val="00782F5F"/>
    <w:rsid w:val="00784D4F"/>
    <w:rsid w:val="00785B29"/>
    <w:rsid w:val="00791052"/>
    <w:rsid w:val="0079130E"/>
    <w:rsid w:val="0079312B"/>
    <w:rsid w:val="007953BC"/>
    <w:rsid w:val="007A01C6"/>
    <w:rsid w:val="007A17FC"/>
    <w:rsid w:val="007A1AD5"/>
    <w:rsid w:val="007B03C9"/>
    <w:rsid w:val="007B0417"/>
    <w:rsid w:val="007B2FDB"/>
    <w:rsid w:val="007B68C2"/>
    <w:rsid w:val="007B6ABB"/>
    <w:rsid w:val="007B77FE"/>
    <w:rsid w:val="007C0719"/>
    <w:rsid w:val="007C151F"/>
    <w:rsid w:val="007C3E13"/>
    <w:rsid w:val="007C482A"/>
    <w:rsid w:val="007D19E2"/>
    <w:rsid w:val="007D2DA2"/>
    <w:rsid w:val="007D3BEB"/>
    <w:rsid w:val="007D56BA"/>
    <w:rsid w:val="007D7DA0"/>
    <w:rsid w:val="007E0BB1"/>
    <w:rsid w:val="007E3FA2"/>
    <w:rsid w:val="007E4AE3"/>
    <w:rsid w:val="007E4ED4"/>
    <w:rsid w:val="007E5D30"/>
    <w:rsid w:val="007E5D5E"/>
    <w:rsid w:val="007E7490"/>
    <w:rsid w:val="007F12CF"/>
    <w:rsid w:val="007F1983"/>
    <w:rsid w:val="007F1F26"/>
    <w:rsid w:val="007F44DF"/>
    <w:rsid w:val="007F7729"/>
    <w:rsid w:val="00800848"/>
    <w:rsid w:val="00803055"/>
    <w:rsid w:val="00803601"/>
    <w:rsid w:val="00804FEA"/>
    <w:rsid w:val="00806905"/>
    <w:rsid w:val="00806EA9"/>
    <w:rsid w:val="00806FB1"/>
    <w:rsid w:val="008070E6"/>
    <w:rsid w:val="00807E2F"/>
    <w:rsid w:val="0081080B"/>
    <w:rsid w:val="00811949"/>
    <w:rsid w:val="008162ED"/>
    <w:rsid w:val="00816783"/>
    <w:rsid w:val="00816AA8"/>
    <w:rsid w:val="00820D76"/>
    <w:rsid w:val="00820F80"/>
    <w:rsid w:val="0082128F"/>
    <w:rsid w:val="00822791"/>
    <w:rsid w:val="00822BD7"/>
    <w:rsid w:val="0082301E"/>
    <w:rsid w:val="00824F59"/>
    <w:rsid w:val="00825D09"/>
    <w:rsid w:val="00825F88"/>
    <w:rsid w:val="00827607"/>
    <w:rsid w:val="0083299E"/>
    <w:rsid w:val="0083489C"/>
    <w:rsid w:val="008350DB"/>
    <w:rsid w:val="0083669E"/>
    <w:rsid w:val="00837DF2"/>
    <w:rsid w:val="00841A8E"/>
    <w:rsid w:val="0084440F"/>
    <w:rsid w:val="00852E96"/>
    <w:rsid w:val="008538C4"/>
    <w:rsid w:val="00853AB4"/>
    <w:rsid w:val="008543FD"/>
    <w:rsid w:val="00855E4E"/>
    <w:rsid w:val="00855F42"/>
    <w:rsid w:val="008622D3"/>
    <w:rsid w:val="0086452B"/>
    <w:rsid w:val="00864F4B"/>
    <w:rsid w:val="00866D24"/>
    <w:rsid w:val="008702AA"/>
    <w:rsid w:val="00871404"/>
    <w:rsid w:val="00872C3E"/>
    <w:rsid w:val="00875C61"/>
    <w:rsid w:val="0087687B"/>
    <w:rsid w:val="00876E8B"/>
    <w:rsid w:val="008806FA"/>
    <w:rsid w:val="00880B4F"/>
    <w:rsid w:val="00881366"/>
    <w:rsid w:val="0088252A"/>
    <w:rsid w:val="0088319C"/>
    <w:rsid w:val="00884898"/>
    <w:rsid w:val="0088539B"/>
    <w:rsid w:val="0088557A"/>
    <w:rsid w:val="00890462"/>
    <w:rsid w:val="008909D9"/>
    <w:rsid w:val="0089176F"/>
    <w:rsid w:val="008928D1"/>
    <w:rsid w:val="00892F61"/>
    <w:rsid w:val="00895CF7"/>
    <w:rsid w:val="008A171D"/>
    <w:rsid w:val="008A4F85"/>
    <w:rsid w:val="008A782A"/>
    <w:rsid w:val="008B0A89"/>
    <w:rsid w:val="008B2E9B"/>
    <w:rsid w:val="008B5AF3"/>
    <w:rsid w:val="008C35B7"/>
    <w:rsid w:val="008C5A9A"/>
    <w:rsid w:val="008D5AAD"/>
    <w:rsid w:val="008E3177"/>
    <w:rsid w:val="008E35A0"/>
    <w:rsid w:val="008E4498"/>
    <w:rsid w:val="008E5BB3"/>
    <w:rsid w:val="008F0306"/>
    <w:rsid w:val="008F16FD"/>
    <w:rsid w:val="008F2467"/>
    <w:rsid w:val="008F3017"/>
    <w:rsid w:val="008F326A"/>
    <w:rsid w:val="008F3F32"/>
    <w:rsid w:val="008F6835"/>
    <w:rsid w:val="009061DF"/>
    <w:rsid w:val="0090779D"/>
    <w:rsid w:val="00910336"/>
    <w:rsid w:val="00912704"/>
    <w:rsid w:val="00912D39"/>
    <w:rsid w:val="009145B6"/>
    <w:rsid w:val="009146E5"/>
    <w:rsid w:val="00915EE1"/>
    <w:rsid w:val="00916096"/>
    <w:rsid w:val="00926910"/>
    <w:rsid w:val="00927E60"/>
    <w:rsid w:val="0093092B"/>
    <w:rsid w:val="00933C49"/>
    <w:rsid w:val="00933C5B"/>
    <w:rsid w:val="00934D69"/>
    <w:rsid w:val="009374D1"/>
    <w:rsid w:val="0093782D"/>
    <w:rsid w:val="0094195E"/>
    <w:rsid w:val="0094230E"/>
    <w:rsid w:val="009426B0"/>
    <w:rsid w:val="009450DD"/>
    <w:rsid w:val="009453DE"/>
    <w:rsid w:val="00946E30"/>
    <w:rsid w:val="009511B5"/>
    <w:rsid w:val="00952188"/>
    <w:rsid w:val="0095250E"/>
    <w:rsid w:val="00953BC5"/>
    <w:rsid w:val="00955602"/>
    <w:rsid w:val="00956ADC"/>
    <w:rsid w:val="0095750D"/>
    <w:rsid w:val="00963713"/>
    <w:rsid w:val="00963F81"/>
    <w:rsid w:val="009649D9"/>
    <w:rsid w:val="009662B5"/>
    <w:rsid w:val="00967528"/>
    <w:rsid w:val="00967827"/>
    <w:rsid w:val="0096784B"/>
    <w:rsid w:val="009701ED"/>
    <w:rsid w:val="0097075B"/>
    <w:rsid w:val="00972521"/>
    <w:rsid w:val="0097485F"/>
    <w:rsid w:val="00974A9A"/>
    <w:rsid w:val="00975B12"/>
    <w:rsid w:val="00976569"/>
    <w:rsid w:val="00976D17"/>
    <w:rsid w:val="009852DF"/>
    <w:rsid w:val="00985E00"/>
    <w:rsid w:val="00986068"/>
    <w:rsid w:val="009921A5"/>
    <w:rsid w:val="00993F01"/>
    <w:rsid w:val="009946FE"/>
    <w:rsid w:val="00994B09"/>
    <w:rsid w:val="00994DCB"/>
    <w:rsid w:val="00994FC8"/>
    <w:rsid w:val="009950BF"/>
    <w:rsid w:val="009957D8"/>
    <w:rsid w:val="00996F39"/>
    <w:rsid w:val="00997866"/>
    <w:rsid w:val="009A3696"/>
    <w:rsid w:val="009A39E1"/>
    <w:rsid w:val="009A4A30"/>
    <w:rsid w:val="009A673F"/>
    <w:rsid w:val="009A6F00"/>
    <w:rsid w:val="009B05BF"/>
    <w:rsid w:val="009B1E3D"/>
    <w:rsid w:val="009B3204"/>
    <w:rsid w:val="009B3FA5"/>
    <w:rsid w:val="009B4653"/>
    <w:rsid w:val="009B493E"/>
    <w:rsid w:val="009C1694"/>
    <w:rsid w:val="009C409E"/>
    <w:rsid w:val="009C5728"/>
    <w:rsid w:val="009C6570"/>
    <w:rsid w:val="009C68E9"/>
    <w:rsid w:val="009C7768"/>
    <w:rsid w:val="009C785A"/>
    <w:rsid w:val="009D0CE2"/>
    <w:rsid w:val="009D1DEE"/>
    <w:rsid w:val="009D6AA2"/>
    <w:rsid w:val="009D72D6"/>
    <w:rsid w:val="009E0138"/>
    <w:rsid w:val="009E146F"/>
    <w:rsid w:val="009E17CA"/>
    <w:rsid w:val="009E5E0B"/>
    <w:rsid w:val="009E5F2D"/>
    <w:rsid w:val="009F0E22"/>
    <w:rsid w:val="009F110D"/>
    <w:rsid w:val="009F2014"/>
    <w:rsid w:val="009F503A"/>
    <w:rsid w:val="009F50AA"/>
    <w:rsid w:val="009F5321"/>
    <w:rsid w:val="009F6AC1"/>
    <w:rsid w:val="009F71BE"/>
    <w:rsid w:val="009F731B"/>
    <w:rsid w:val="00A00471"/>
    <w:rsid w:val="00A016A8"/>
    <w:rsid w:val="00A0182A"/>
    <w:rsid w:val="00A0371C"/>
    <w:rsid w:val="00A05306"/>
    <w:rsid w:val="00A0718B"/>
    <w:rsid w:val="00A072ED"/>
    <w:rsid w:val="00A07BC4"/>
    <w:rsid w:val="00A10084"/>
    <w:rsid w:val="00A10341"/>
    <w:rsid w:val="00A10FAB"/>
    <w:rsid w:val="00A11902"/>
    <w:rsid w:val="00A12526"/>
    <w:rsid w:val="00A14118"/>
    <w:rsid w:val="00A15A69"/>
    <w:rsid w:val="00A17519"/>
    <w:rsid w:val="00A20145"/>
    <w:rsid w:val="00A206E8"/>
    <w:rsid w:val="00A21656"/>
    <w:rsid w:val="00A232CE"/>
    <w:rsid w:val="00A266BA"/>
    <w:rsid w:val="00A267ED"/>
    <w:rsid w:val="00A277C8"/>
    <w:rsid w:val="00A3258A"/>
    <w:rsid w:val="00A34A70"/>
    <w:rsid w:val="00A363D3"/>
    <w:rsid w:val="00A41821"/>
    <w:rsid w:val="00A41A62"/>
    <w:rsid w:val="00A45812"/>
    <w:rsid w:val="00A45D64"/>
    <w:rsid w:val="00A46ECE"/>
    <w:rsid w:val="00A529F7"/>
    <w:rsid w:val="00A52EC6"/>
    <w:rsid w:val="00A54436"/>
    <w:rsid w:val="00A54D62"/>
    <w:rsid w:val="00A572FC"/>
    <w:rsid w:val="00A5761E"/>
    <w:rsid w:val="00A60540"/>
    <w:rsid w:val="00A60EC1"/>
    <w:rsid w:val="00A61A88"/>
    <w:rsid w:val="00A636FC"/>
    <w:rsid w:val="00A63CD1"/>
    <w:rsid w:val="00A64E33"/>
    <w:rsid w:val="00A665D8"/>
    <w:rsid w:val="00A70F7D"/>
    <w:rsid w:val="00A72462"/>
    <w:rsid w:val="00A72C27"/>
    <w:rsid w:val="00A74689"/>
    <w:rsid w:val="00A77FEA"/>
    <w:rsid w:val="00A81DDC"/>
    <w:rsid w:val="00A821C6"/>
    <w:rsid w:val="00A82851"/>
    <w:rsid w:val="00A82DD5"/>
    <w:rsid w:val="00A8323C"/>
    <w:rsid w:val="00A834B7"/>
    <w:rsid w:val="00A83C6D"/>
    <w:rsid w:val="00A85294"/>
    <w:rsid w:val="00A8765E"/>
    <w:rsid w:val="00A90145"/>
    <w:rsid w:val="00A91664"/>
    <w:rsid w:val="00A92DC2"/>
    <w:rsid w:val="00A957CF"/>
    <w:rsid w:val="00A96D81"/>
    <w:rsid w:val="00AA2303"/>
    <w:rsid w:val="00AA267C"/>
    <w:rsid w:val="00AA2F46"/>
    <w:rsid w:val="00AA3AB0"/>
    <w:rsid w:val="00AA4146"/>
    <w:rsid w:val="00AA47D9"/>
    <w:rsid w:val="00AA7BFA"/>
    <w:rsid w:val="00AB037D"/>
    <w:rsid w:val="00AB0563"/>
    <w:rsid w:val="00AB12BA"/>
    <w:rsid w:val="00AB1F6A"/>
    <w:rsid w:val="00AB358A"/>
    <w:rsid w:val="00AB4BF0"/>
    <w:rsid w:val="00AB5039"/>
    <w:rsid w:val="00AB5F04"/>
    <w:rsid w:val="00AB7B46"/>
    <w:rsid w:val="00AB7E92"/>
    <w:rsid w:val="00AC124D"/>
    <w:rsid w:val="00AC6B89"/>
    <w:rsid w:val="00AD1EF7"/>
    <w:rsid w:val="00AD2A52"/>
    <w:rsid w:val="00AD31FC"/>
    <w:rsid w:val="00AD4C75"/>
    <w:rsid w:val="00AD5A26"/>
    <w:rsid w:val="00AD5B3C"/>
    <w:rsid w:val="00AD6001"/>
    <w:rsid w:val="00AD75ED"/>
    <w:rsid w:val="00AD7C93"/>
    <w:rsid w:val="00AE2987"/>
    <w:rsid w:val="00AE3E77"/>
    <w:rsid w:val="00AE50F7"/>
    <w:rsid w:val="00AE78B5"/>
    <w:rsid w:val="00AF2017"/>
    <w:rsid w:val="00AF50F8"/>
    <w:rsid w:val="00AF6487"/>
    <w:rsid w:val="00B04388"/>
    <w:rsid w:val="00B04EF6"/>
    <w:rsid w:val="00B0523C"/>
    <w:rsid w:val="00B06705"/>
    <w:rsid w:val="00B075B8"/>
    <w:rsid w:val="00B11E9B"/>
    <w:rsid w:val="00B20B90"/>
    <w:rsid w:val="00B211EF"/>
    <w:rsid w:val="00B215E6"/>
    <w:rsid w:val="00B21D83"/>
    <w:rsid w:val="00B2445A"/>
    <w:rsid w:val="00B25D18"/>
    <w:rsid w:val="00B268A4"/>
    <w:rsid w:val="00B26E96"/>
    <w:rsid w:val="00B30386"/>
    <w:rsid w:val="00B34CB8"/>
    <w:rsid w:val="00B4012D"/>
    <w:rsid w:val="00B40711"/>
    <w:rsid w:val="00B413F2"/>
    <w:rsid w:val="00B41FAF"/>
    <w:rsid w:val="00B444F2"/>
    <w:rsid w:val="00B44B99"/>
    <w:rsid w:val="00B4643B"/>
    <w:rsid w:val="00B46CB5"/>
    <w:rsid w:val="00B51F29"/>
    <w:rsid w:val="00B55A03"/>
    <w:rsid w:val="00B5749D"/>
    <w:rsid w:val="00B611FA"/>
    <w:rsid w:val="00B63178"/>
    <w:rsid w:val="00B643C4"/>
    <w:rsid w:val="00B64472"/>
    <w:rsid w:val="00B64C81"/>
    <w:rsid w:val="00B7026F"/>
    <w:rsid w:val="00B70836"/>
    <w:rsid w:val="00B70C23"/>
    <w:rsid w:val="00B710A4"/>
    <w:rsid w:val="00B71A30"/>
    <w:rsid w:val="00B7336C"/>
    <w:rsid w:val="00B747DE"/>
    <w:rsid w:val="00B74F8F"/>
    <w:rsid w:val="00B76FC7"/>
    <w:rsid w:val="00B77398"/>
    <w:rsid w:val="00B779C9"/>
    <w:rsid w:val="00B802A4"/>
    <w:rsid w:val="00B809D3"/>
    <w:rsid w:val="00B81D7C"/>
    <w:rsid w:val="00B83BBE"/>
    <w:rsid w:val="00B84F50"/>
    <w:rsid w:val="00B851BF"/>
    <w:rsid w:val="00B87A79"/>
    <w:rsid w:val="00B87D0C"/>
    <w:rsid w:val="00B90C60"/>
    <w:rsid w:val="00B97715"/>
    <w:rsid w:val="00BA2162"/>
    <w:rsid w:val="00BA27A4"/>
    <w:rsid w:val="00BA3F0B"/>
    <w:rsid w:val="00BA76EB"/>
    <w:rsid w:val="00BA7A71"/>
    <w:rsid w:val="00BB1DE9"/>
    <w:rsid w:val="00BB3294"/>
    <w:rsid w:val="00BB5D18"/>
    <w:rsid w:val="00BB768E"/>
    <w:rsid w:val="00BC241E"/>
    <w:rsid w:val="00BC4261"/>
    <w:rsid w:val="00BC42C8"/>
    <w:rsid w:val="00BC62FB"/>
    <w:rsid w:val="00BD03C8"/>
    <w:rsid w:val="00BD253D"/>
    <w:rsid w:val="00BD370A"/>
    <w:rsid w:val="00BD4924"/>
    <w:rsid w:val="00BD4AFB"/>
    <w:rsid w:val="00BD4B1E"/>
    <w:rsid w:val="00BD4E34"/>
    <w:rsid w:val="00BD6043"/>
    <w:rsid w:val="00BD6247"/>
    <w:rsid w:val="00BD657E"/>
    <w:rsid w:val="00BE12E6"/>
    <w:rsid w:val="00BE1E21"/>
    <w:rsid w:val="00BE3EFA"/>
    <w:rsid w:val="00BE5911"/>
    <w:rsid w:val="00BE641E"/>
    <w:rsid w:val="00BF2C6D"/>
    <w:rsid w:val="00BF3B0D"/>
    <w:rsid w:val="00BF50C6"/>
    <w:rsid w:val="00BF5E48"/>
    <w:rsid w:val="00C0126D"/>
    <w:rsid w:val="00C01714"/>
    <w:rsid w:val="00C0474D"/>
    <w:rsid w:val="00C064AB"/>
    <w:rsid w:val="00C066F2"/>
    <w:rsid w:val="00C06820"/>
    <w:rsid w:val="00C0686A"/>
    <w:rsid w:val="00C15323"/>
    <w:rsid w:val="00C16CA4"/>
    <w:rsid w:val="00C16CB2"/>
    <w:rsid w:val="00C203CA"/>
    <w:rsid w:val="00C2196B"/>
    <w:rsid w:val="00C23C34"/>
    <w:rsid w:val="00C25CEB"/>
    <w:rsid w:val="00C278E9"/>
    <w:rsid w:val="00C30A61"/>
    <w:rsid w:val="00C32807"/>
    <w:rsid w:val="00C32F04"/>
    <w:rsid w:val="00C36DD5"/>
    <w:rsid w:val="00C378E8"/>
    <w:rsid w:val="00C532DC"/>
    <w:rsid w:val="00C53DD4"/>
    <w:rsid w:val="00C546FD"/>
    <w:rsid w:val="00C555BB"/>
    <w:rsid w:val="00C55E61"/>
    <w:rsid w:val="00C600B6"/>
    <w:rsid w:val="00C61E00"/>
    <w:rsid w:val="00C64333"/>
    <w:rsid w:val="00C64C39"/>
    <w:rsid w:val="00C66C7E"/>
    <w:rsid w:val="00C67AAE"/>
    <w:rsid w:val="00C67BBB"/>
    <w:rsid w:val="00C712DB"/>
    <w:rsid w:val="00C7258E"/>
    <w:rsid w:val="00C74C50"/>
    <w:rsid w:val="00C761FE"/>
    <w:rsid w:val="00C77936"/>
    <w:rsid w:val="00C808A2"/>
    <w:rsid w:val="00C811EF"/>
    <w:rsid w:val="00C84521"/>
    <w:rsid w:val="00C84DF1"/>
    <w:rsid w:val="00C86B0B"/>
    <w:rsid w:val="00C90BD5"/>
    <w:rsid w:val="00C922C5"/>
    <w:rsid w:val="00C93166"/>
    <w:rsid w:val="00C9585A"/>
    <w:rsid w:val="00C95EF5"/>
    <w:rsid w:val="00C96219"/>
    <w:rsid w:val="00C96E92"/>
    <w:rsid w:val="00C9745E"/>
    <w:rsid w:val="00C97F86"/>
    <w:rsid w:val="00CA3C5A"/>
    <w:rsid w:val="00CA4E7D"/>
    <w:rsid w:val="00CB088F"/>
    <w:rsid w:val="00CB0AA5"/>
    <w:rsid w:val="00CB0EF6"/>
    <w:rsid w:val="00CB427C"/>
    <w:rsid w:val="00CB51D9"/>
    <w:rsid w:val="00CB7345"/>
    <w:rsid w:val="00CB7C9A"/>
    <w:rsid w:val="00CC0D17"/>
    <w:rsid w:val="00CC19D5"/>
    <w:rsid w:val="00CC218B"/>
    <w:rsid w:val="00CC4ADD"/>
    <w:rsid w:val="00CC68E3"/>
    <w:rsid w:val="00CC71BF"/>
    <w:rsid w:val="00CC781B"/>
    <w:rsid w:val="00CD01D6"/>
    <w:rsid w:val="00CD0313"/>
    <w:rsid w:val="00CD0B72"/>
    <w:rsid w:val="00CD16A5"/>
    <w:rsid w:val="00CD1A0A"/>
    <w:rsid w:val="00CD3F9F"/>
    <w:rsid w:val="00CD70D5"/>
    <w:rsid w:val="00CE2996"/>
    <w:rsid w:val="00CE3874"/>
    <w:rsid w:val="00CE544B"/>
    <w:rsid w:val="00CE7E3C"/>
    <w:rsid w:val="00CF00B0"/>
    <w:rsid w:val="00CF0951"/>
    <w:rsid w:val="00CF0F98"/>
    <w:rsid w:val="00CF43A4"/>
    <w:rsid w:val="00CF68F3"/>
    <w:rsid w:val="00CF69CE"/>
    <w:rsid w:val="00CF6A40"/>
    <w:rsid w:val="00CF77BA"/>
    <w:rsid w:val="00CF7942"/>
    <w:rsid w:val="00D012D4"/>
    <w:rsid w:val="00D01428"/>
    <w:rsid w:val="00D030BD"/>
    <w:rsid w:val="00D03228"/>
    <w:rsid w:val="00D046E5"/>
    <w:rsid w:val="00D103BD"/>
    <w:rsid w:val="00D13293"/>
    <w:rsid w:val="00D15301"/>
    <w:rsid w:val="00D156EF"/>
    <w:rsid w:val="00D17517"/>
    <w:rsid w:val="00D20B74"/>
    <w:rsid w:val="00D24771"/>
    <w:rsid w:val="00D249B9"/>
    <w:rsid w:val="00D2637A"/>
    <w:rsid w:val="00D30F6E"/>
    <w:rsid w:val="00D330E1"/>
    <w:rsid w:val="00D33BC5"/>
    <w:rsid w:val="00D363DE"/>
    <w:rsid w:val="00D36BDF"/>
    <w:rsid w:val="00D37C68"/>
    <w:rsid w:val="00D37DC7"/>
    <w:rsid w:val="00D37FE6"/>
    <w:rsid w:val="00D4260E"/>
    <w:rsid w:val="00D42716"/>
    <w:rsid w:val="00D44A30"/>
    <w:rsid w:val="00D45934"/>
    <w:rsid w:val="00D45FC2"/>
    <w:rsid w:val="00D467F3"/>
    <w:rsid w:val="00D47721"/>
    <w:rsid w:val="00D54560"/>
    <w:rsid w:val="00D61266"/>
    <w:rsid w:val="00D64780"/>
    <w:rsid w:val="00D709E4"/>
    <w:rsid w:val="00D70E83"/>
    <w:rsid w:val="00D73439"/>
    <w:rsid w:val="00D774B1"/>
    <w:rsid w:val="00D77C61"/>
    <w:rsid w:val="00D81D92"/>
    <w:rsid w:val="00D83AB8"/>
    <w:rsid w:val="00D84ADB"/>
    <w:rsid w:val="00D91382"/>
    <w:rsid w:val="00D94410"/>
    <w:rsid w:val="00D973AD"/>
    <w:rsid w:val="00DA0403"/>
    <w:rsid w:val="00DA1195"/>
    <w:rsid w:val="00DA1AC7"/>
    <w:rsid w:val="00DA2656"/>
    <w:rsid w:val="00DA37E0"/>
    <w:rsid w:val="00DA5CB7"/>
    <w:rsid w:val="00DA62C3"/>
    <w:rsid w:val="00DA63C1"/>
    <w:rsid w:val="00DA77BC"/>
    <w:rsid w:val="00DA77C5"/>
    <w:rsid w:val="00DB4C8C"/>
    <w:rsid w:val="00DB514F"/>
    <w:rsid w:val="00DB6077"/>
    <w:rsid w:val="00DB66E1"/>
    <w:rsid w:val="00DB7AE4"/>
    <w:rsid w:val="00DB7DC6"/>
    <w:rsid w:val="00DC04C9"/>
    <w:rsid w:val="00DC54CA"/>
    <w:rsid w:val="00DC6A26"/>
    <w:rsid w:val="00DC770B"/>
    <w:rsid w:val="00DD10AA"/>
    <w:rsid w:val="00DD1A29"/>
    <w:rsid w:val="00DD1AEF"/>
    <w:rsid w:val="00DD1F15"/>
    <w:rsid w:val="00DD2D27"/>
    <w:rsid w:val="00DD413B"/>
    <w:rsid w:val="00DD49DF"/>
    <w:rsid w:val="00DD593C"/>
    <w:rsid w:val="00DD698A"/>
    <w:rsid w:val="00DD69BD"/>
    <w:rsid w:val="00DE4CA6"/>
    <w:rsid w:val="00DE5865"/>
    <w:rsid w:val="00DE5F00"/>
    <w:rsid w:val="00DE6BCE"/>
    <w:rsid w:val="00DF209D"/>
    <w:rsid w:val="00E00B24"/>
    <w:rsid w:val="00E0110F"/>
    <w:rsid w:val="00E02868"/>
    <w:rsid w:val="00E02DE0"/>
    <w:rsid w:val="00E041FF"/>
    <w:rsid w:val="00E064F2"/>
    <w:rsid w:val="00E07D36"/>
    <w:rsid w:val="00E10EA3"/>
    <w:rsid w:val="00E120BD"/>
    <w:rsid w:val="00E13871"/>
    <w:rsid w:val="00E145D9"/>
    <w:rsid w:val="00E151FC"/>
    <w:rsid w:val="00E1555E"/>
    <w:rsid w:val="00E15571"/>
    <w:rsid w:val="00E162B5"/>
    <w:rsid w:val="00E173CE"/>
    <w:rsid w:val="00E20D23"/>
    <w:rsid w:val="00E2302C"/>
    <w:rsid w:val="00E236FE"/>
    <w:rsid w:val="00E26719"/>
    <w:rsid w:val="00E2786D"/>
    <w:rsid w:val="00E312B8"/>
    <w:rsid w:val="00E31E63"/>
    <w:rsid w:val="00E34288"/>
    <w:rsid w:val="00E40036"/>
    <w:rsid w:val="00E44923"/>
    <w:rsid w:val="00E46A8B"/>
    <w:rsid w:val="00E505F1"/>
    <w:rsid w:val="00E530CF"/>
    <w:rsid w:val="00E55148"/>
    <w:rsid w:val="00E5738D"/>
    <w:rsid w:val="00E57BF8"/>
    <w:rsid w:val="00E61434"/>
    <w:rsid w:val="00E62740"/>
    <w:rsid w:val="00E62F82"/>
    <w:rsid w:val="00E63BAE"/>
    <w:rsid w:val="00E64B0F"/>
    <w:rsid w:val="00E728C1"/>
    <w:rsid w:val="00E7400B"/>
    <w:rsid w:val="00E77DE6"/>
    <w:rsid w:val="00E811AF"/>
    <w:rsid w:val="00E82D78"/>
    <w:rsid w:val="00E837B4"/>
    <w:rsid w:val="00E8418E"/>
    <w:rsid w:val="00E861BD"/>
    <w:rsid w:val="00E86214"/>
    <w:rsid w:val="00E87574"/>
    <w:rsid w:val="00E90201"/>
    <w:rsid w:val="00E909B7"/>
    <w:rsid w:val="00E91A86"/>
    <w:rsid w:val="00E9248F"/>
    <w:rsid w:val="00E963AD"/>
    <w:rsid w:val="00E9648A"/>
    <w:rsid w:val="00E969C7"/>
    <w:rsid w:val="00E970D4"/>
    <w:rsid w:val="00E97386"/>
    <w:rsid w:val="00E9744F"/>
    <w:rsid w:val="00EA00D6"/>
    <w:rsid w:val="00EA15E9"/>
    <w:rsid w:val="00EA1E48"/>
    <w:rsid w:val="00EA314E"/>
    <w:rsid w:val="00EA552D"/>
    <w:rsid w:val="00EA649D"/>
    <w:rsid w:val="00EB288F"/>
    <w:rsid w:val="00EB3995"/>
    <w:rsid w:val="00EB749B"/>
    <w:rsid w:val="00EB7814"/>
    <w:rsid w:val="00EB7AE7"/>
    <w:rsid w:val="00EC1542"/>
    <w:rsid w:val="00EC1F45"/>
    <w:rsid w:val="00EC4121"/>
    <w:rsid w:val="00EC4129"/>
    <w:rsid w:val="00EC5B70"/>
    <w:rsid w:val="00EC7707"/>
    <w:rsid w:val="00ED38EC"/>
    <w:rsid w:val="00ED4E23"/>
    <w:rsid w:val="00ED69D5"/>
    <w:rsid w:val="00EE0ABA"/>
    <w:rsid w:val="00EE354D"/>
    <w:rsid w:val="00EE54A9"/>
    <w:rsid w:val="00EE5AAB"/>
    <w:rsid w:val="00EE6A6C"/>
    <w:rsid w:val="00EF2824"/>
    <w:rsid w:val="00EF35D1"/>
    <w:rsid w:val="00EF4039"/>
    <w:rsid w:val="00EF4498"/>
    <w:rsid w:val="00EF70FD"/>
    <w:rsid w:val="00EF7B71"/>
    <w:rsid w:val="00F00E15"/>
    <w:rsid w:val="00F01DD2"/>
    <w:rsid w:val="00F020C7"/>
    <w:rsid w:val="00F02D4A"/>
    <w:rsid w:val="00F032D5"/>
    <w:rsid w:val="00F04857"/>
    <w:rsid w:val="00F0650D"/>
    <w:rsid w:val="00F0707C"/>
    <w:rsid w:val="00F075DC"/>
    <w:rsid w:val="00F1127E"/>
    <w:rsid w:val="00F12935"/>
    <w:rsid w:val="00F13CAC"/>
    <w:rsid w:val="00F1745E"/>
    <w:rsid w:val="00F20A8D"/>
    <w:rsid w:val="00F212C3"/>
    <w:rsid w:val="00F22CFB"/>
    <w:rsid w:val="00F23970"/>
    <w:rsid w:val="00F25DF8"/>
    <w:rsid w:val="00F276E1"/>
    <w:rsid w:val="00F3111D"/>
    <w:rsid w:val="00F31149"/>
    <w:rsid w:val="00F32B73"/>
    <w:rsid w:val="00F34392"/>
    <w:rsid w:val="00F34A75"/>
    <w:rsid w:val="00F35795"/>
    <w:rsid w:val="00F375F4"/>
    <w:rsid w:val="00F377DD"/>
    <w:rsid w:val="00F40A67"/>
    <w:rsid w:val="00F40CD8"/>
    <w:rsid w:val="00F42F80"/>
    <w:rsid w:val="00F439A5"/>
    <w:rsid w:val="00F466F0"/>
    <w:rsid w:val="00F46986"/>
    <w:rsid w:val="00F46AD2"/>
    <w:rsid w:val="00F46B2B"/>
    <w:rsid w:val="00F472D9"/>
    <w:rsid w:val="00F47DA6"/>
    <w:rsid w:val="00F5042F"/>
    <w:rsid w:val="00F52036"/>
    <w:rsid w:val="00F5234D"/>
    <w:rsid w:val="00F5258F"/>
    <w:rsid w:val="00F552CD"/>
    <w:rsid w:val="00F55991"/>
    <w:rsid w:val="00F56704"/>
    <w:rsid w:val="00F57FFC"/>
    <w:rsid w:val="00F618FD"/>
    <w:rsid w:val="00F632BF"/>
    <w:rsid w:val="00F640D7"/>
    <w:rsid w:val="00F6486D"/>
    <w:rsid w:val="00F64D2F"/>
    <w:rsid w:val="00F70FAC"/>
    <w:rsid w:val="00F7164F"/>
    <w:rsid w:val="00F73BF6"/>
    <w:rsid w:val="00F74327"/>
    <w:rsid w:val="00F757E5"/>
    <w:rsid w:val="00F76D8E"/>
    <w:rsid w:val="00F77667"/>
    <w:rsid w:val="00F77887"/>
    <w:rsid w:val="00F80985"/>
    <w:rsid w:val="00F8444A"/>
    <w:rsid w:val="00F850C5"/>
    <w:rsid w:val="00F85360"/>
    <w:rsid w:val="00F85C2C"/>
    <w:rsid w:val="00F9018E"/>
    <w:rsid w:val="00F92F64"/>
    <w:rsid w:val="00F95067"/>
    <w:rsid w:val="00F959CB"/>
    <w:rsid w:val="00F96E60"/>
    <w:rsid w:val="00F97764"/>
    <w:rsid w:val="00FA08FB"/>
    <w:rsid w:val="00FA09F1"/>
    <w:rsid w:val="00FA3A56"/>
    <w:rsid w:val="00FA4F93"/>
    <w:rsid w:val="00FA51C4"/>
    <w:rsid w:val="00FA5E55"/>
    <w:rsid w:val="00FA63B9"/>
    <w:rsid w:val="00FA715A"/>
    <w:rsid w:val="00FA7793"/>
    <w:rsid w:val="00FB08F7"/>
    <w:rsid w:val="00FB1054"/>
    <w:rsid w:val="00FB2240"/>
    <w:rsid w:val="00FB230C"/>
    <w:rsid w:val="00FB2590"/>
    <w:rsid w:val="00FB47C8"/>
    <w:rsid w:val="00FC1D66"/>
    <w:rsid w:val="00FC4F7D"/>
    <w:rsid w:val="00FD0181"/>
    <w:rsid w:val="00FD3DC1"/>
    <w:rsid w:val="00FD4146"/>
    <w:rsid w:val="00FD5E4E"/>
    <w:rsid w:val="00FD6D20"/>
    <w:rsid w:val="00FD7B71"/>
    <w:rsid w:val="00FE2683"/>
    <w:rsid w:val="00FE514F"/>
    <w:rsid w:val="00FE66D0"/>
    <w:rsid w:val="00FE7C98"/>
    <w:rsid w:val="00FF03A1"/>
    <w:rsid w:val="00FF0FB9"/>
    <w:rsid w:val="00FF4B30"/>
    <w:rsid w:val="00FF60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D5650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Times New Roman"/>
        <w:lang w:val="lv-LV" w:eastAsia="lv-LV" w:bidi="ar-SA"/>
      </w:rPr>
    </w:rPrDefault>
    <w:pPrDefault>
      <w:pPr>
        <w:spacing w:before="120"/>
        <w:ind w:left="34"/>
        <w:jc w:val="both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2357A"/>
    <w:rPr>
      <w:sz w:val="24"/>
      <w:szCs w:val="24"/>
      <w:lang w:val="de-DE" w:eastAsia="zh-CN"/>
    </w:rPr>
  </w:style>
  <w:style w:type="paragraph" w:styleId="Heading1">
    <w:name w:val="heading 1"/>
    <w:basedOn w:val="Normal"/>
    <w:next w:val="Normal"/>
    <w:link w:val="Heading1Char"/>
    <w:qFormat/>
    <w:rsid w:val="00933C5B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19232D"/>
    <w:pPr>
      <w:keepNext/>
      <w:jc w:val="center"/>
      <w:outlineLvl w:val="4"/>
    </w:pPr>
    <w:rPr>
      <w:rFonts w:eastAsia="Times New Roman"/>
      <w:b/>
      <w:bCs/>
      <w:lang w:val="en-GB" w:eastAsia="hr-HR"/>
    </w:rPr>
  </w:style>
  <w:style w:type="paragraph" w:styleId="Heading7">
    <w:name w:val="heading 7"/>
    <w:basedOn w:val="Normal"/>
    <w:next w:val="Normal"/>
    <w:link w:val="Heading7Char"/>
    <w:qFormat/>
    <w:rsid w:val="0019232D"/>
    <w:pPr>
      <w:keepNext/>
      <w:outlineLvl w:val="6"/>
    </w:pPr>
    <w:rPr>
      <w:rFonts w:eastAsia="Times New Roman"/>
      <w:lang w:val="en-GB"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4012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uiPriority w:val="99"/>
    <w:rsid w:val="00B4012D"/>
    <w:pPr>
      <w:tabs>
        <w:tab w:val="center" w:pos="4536"/>
        <w:tab w:val="right" w:pos="9072"/>
      </w:tabs>
    </w:pPr>
  </w:style>
  <w:style w:type="paragraph" w:customStyle="1" w:styleId="section1">
    <w:name w:val="section1"/>
    <w:basedOn w:val="Normal"/>
    <w:rsid w:val="00323218"/>
    <w:pPr>
      <w:spacing w:before="100" w:beforeAutospacing="1" w:after="100" w:afterAutospacing="1"/>
    </w:pPr>
    <w:rPr>
      <w:rFonts w:eastAsia="Times New Roman"/>
      <w:lang w:val="de-AT"/>
    </w:rPr>
  </w:style>
  <w:style w:type="character" w:customStyle="1" w:styleId="emailstyle17">
    <w:name w:val="emailstyle17"/>
    <w:semiHidden/>
    <w:rsid w:val="00323218"/>
    <w:rPr>
      <w:rFonts w:ascii="Arial" w:hAnsi="Arial" w:cs="Arial" w:hint="default"/>
      <w:color w:val="auto"/>
      <w:sz w:val="20"/>
      <w:szCs w:val="20"/>
    </w:rPr>
  </w:style>
  <w:style w:type="paragraph" w:styleId="CommentText">
    <w:name w:val="annotation text"/>
    <w:basedOn w:val="Normal"/>
    <w:link w:val="CommentTextChar"/>
    <w:uiPriority w:val="99"/>
    <w:rsid w:val="00E57BF8"/>
    <w:rPr>
      <w:rFonts w:eastAsia="Times New Roman"/>
      <w:kern w:val="28"/>
      <w:sz w:val="20"/>
      <w:szCs w:val="20"/>
      <w:lang w:val="nl-NL" w:eastAsia="en-US"/>
    </w:rPr>
  </w:style>
  <w:style w:type="character" w:customStyle="1" w:styleId="CommentTextChar">
    <w:name w:val="Comment Text Char"/>
    <w:link w:val="CommentText"/>
    <w:uiPriority w:val="99"/>
    <w:rsid w:val="00E57BF8"/>
    <w:rPr>
      <w:rFonts w:eastAsia="Times New Roman"/>
      <w:kern w:val="28"/>
      <w:lang w:val="nl-NL" w:eastAsia="en-US"/>
    </w:rPr>
  </w:style>
  <w:style w:type="paragraph" w:customStyle="1" w:styleId="Bullets">
    <w:name w:val="Bullets"/>
    <w:basedOn w:val="Normal"/>
    <w:rsid w:val="00B41FAF"/>
    <w:pPr>
      <w:numPr>
        <w:numId w:val="1"/>
      </w:numPr>
      <w:spacing w:before="60" w:after="60"/>
    </w:pPr>
    <w:rPr>
      <w:rFonts w:eastAsia="Times New Roman"/>
      <w:sz w:val="22"/>
      <w:szCs w:val="22"/>
      <w:lang w:val="en-GB" w:eastAsia="en-GB"/>
    </w:rPr>
  </w:style>
  <w:style w:type="paragraph" w:styleId="BalloonText">
    <w:name w:val="Balloon Text"/>
    <w:basedOn w:val="Normal"/>
    <w:link w:val="BalloonTextChar"/>
    <w:rsid w:val="00B41FA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B41FAF"/>
    <w:rPr>
      <w:rFonts w:ascii="Tahoma" w:hAnsi="Tahoma" w:cs="Tahoma"/>
      <w:sz w:val="16"/>
      <w:szCs w:val="16"/>
      <w:lang w:val="de-DE" w:eastAsia="zh-CN"/>
    </w:rPr>
  </w:style>
  <w:style w:type="character" w:styleId="Hyperlink">
    <w:name w:val="Hyperlink"/>
    <w:rsid w:val="00121D9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627177"/>
    <w:pPr>
      <w:ind w:left="708"/>
    </w:pPr>
  </w:style>
  <w:style w:type="character" w:styleId="Strong">
    <w:name w:val="Strong"/>
    <w:uiPriority w:val="22"/>
    <w:qFormat/>
    <w:rsid w:val="00627177"/>
    <w:rPr>
      <w:b/>
      <w:bCs/>
    </w:rPr>
  </w:style>
  <w:style w:type="paragraph" w:styleId="FootnoteText">
    <w:name w:val="footnote text"/>
    <w:basedOn w:val="Normal"/>
    <w:link w:val="FootnoteTextChar"/>
    <w:uiPriority w:val="99"/>
    <w:rsid w:val="00376921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rsid w:val="00376921"/>
    <w:rPr>
      <w:lang w:val="de-DE" w:eastAsia="zh-CN"/>
    </w:rPr>
  </w:style>
  <w:style w:type="character" w:styleId="FootnoteReference">
    <w:name w:val="footnote reference"/>
    <w:uiPriority w:val="99"/>
    <w:rsid w:val="00376921"/>
    <w:rPr>
      <w:vertAlign w:val="superscript"/>
    </w:rPr>
  </w:style>
  <w:style w:type="character" w:styleId="CommentReference">
    <w:name w:val="annotation reference"/>
    <w:uiPriority w:val="99"/>
    <w:rsid w:val="005B3F5D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5B3F5D"/>
    <w:pPr>
      <w:jc w:val="left"/>
    </w:pPr>
    <w:rPr>
      <w:b/>
      <w:bCs/>
      <w:lang w:val="de-DE" w:eastAsia="zh-CN"/>
    </w:rPr>
  </w:style>
  <w:style w:type="character" w:customStyle="1" w:styleId="CommentSubjectChar">
    <w:name w:val="Comment Subject Char"/>
    <w:link w:val="CommentSubject"/>
    <w:rsid w:val="005B3F5D"/>
    <w:rPr>
      <w:rFonts w:eastAsia="Times New Roman"/>
      <w:b/>
      <w:bCs/>
      <w:kern w:val="28"/>
      <w:lang w:val="de-DE" w:eastAsia="zh-CN"/>
    </w:rPr>
  </w:style>
  <w:style w:type="character" w:customStyle="1" w:styleId="Heading5Char">
    <w:name w:val="Heading 5 Char"/>
    <w:link w:val="Heading5"/>
    <w:rsid w:val="0019232D"/>
    <w:rPr>
      <w:rFonts w:eastAsia="Times New Roman"/>
      <w:b/>
      <w:bCs/>
      <w:sz w:val="24"/>
      <w:szCs w:val="24"/>
      <w:lang w:val="en-GB" w:eastAsia="hr-HR"/>
    </w:rPr>
  </w:style>
  <w:style w:type="character" w:customStyle="1" w:styleId="Heading7Char">
    <w:name w:val="Heading 7 Char"/>
    <w:link w:val="Heading7"/>
    <w:rsid w:val="0019232D"/>
    <w:rPr>
      <w:rFonts w:eastAsia="Times New Roman"/>
      <w:sz w:val="24"/>
      <w:szCs w:val="24"/>
      <w:lang w:val="en-GB" w:eastAsia="hr-HR"/>
    </w:rPr>
  </w:style>
  <w:style w:type="paragraph" w:styleId="Title">
    <w:name w:val="Title"/>
    <w:basedOn w:val="Normal"/>
    <w:link w:val="TitleChar"/>
    <w:qFormat/>
    <w:rsid w:val="0019232D"/>
    <w:pPr>
      <w:jc w:val="center"/>
    </w:pPr>
    <w:rPr>
      <w:rFonts w:eastAsia="Times New Roman"/>
      <w:b/>
      <w:bCs/>
      <w:lang w:val="en-GB" w:eastAsia="hr-HR"/>
    </w:rPr>
  </w:style>
  <w:style w:type="character" w:customStyle="1" w:styleId="TitleChar">
    <w:name w:val="Title Char"/>
    <w:link w:val="Title"/>
    <w:rsid w:val="0019232D"/>
    <w:rPr>
      <w:rFonts w:eastAsia="Times New Roman"/>
      <w:b/>
      <w:bCs/>
      <w:sz w:val="24"/>
      <w:szCs w:val="24"/>
      <w:lang w:val="en-GB" w:eastAsia="hr-HR"/>
    </w:rPr>
  </w:style>
  <w:style w:type="paragraph" w:styleId="Subtitle">
    <w:name w:val="Subtitle"/>
    <w:basedOn w:val="Normal"/>
    <w:link w:val="SubtitleChar"/>
    <w:qFormat/>
    <w:rsid w:val="0019232D"/>
    <w:pPr>
      <w:jc w:val="center"/>
    </w:pPr>
    <w:rPr>
      <w:rFonts w:eastAsia="Times New Roman"/>
      <w:b/>
      <w:bCs/>
      <w:lang w:val="en-GB" w:eastAsia="hr-HR"/>
    </w:rPr>
  </w:style>
  <w:style w:type="character" w:customStyle="1" w:styleId="SubtitleChar">
    <w:name w:val="Subtitle Char"/>
    <w:link w:val="Subtitle"/>
    <w:rsid w:val="0019232D"/>
    <w:rPr>
      <w:rFonts w:eastAsia="Times New Roman"/>
      <w:b/>
      <w:bCs/>
      <w:sz w:val="24"/>
      <w:szCs w:val="24"/>
      <w:lang w:val="en-GB" w:eastAsia="hr-HR"/>
    </w:rPr>
  </w:style>
  <w:style w:type="character" w:customStyle="1" w:styleId="msid322861">
    <w:name w:val="ms__id322861"/>
    <w:rsid w:val="00A8765E"/>
    <w:rPr>
      <w:rFonts w:ascii="Times New Roman" w:hAnsi="Times New Roman" w:cs="Times New Roman" w:hint="default"/>
    </w:rPr>
  </w:style>
  <w:style w:type="character" w:customStyle="1" w:styleId="msid322891">
    <w:name w:val="ms__id322891"/>
    <w:rsid w:val="00A8765E"/>
    <w:rPr>
      <w:rFonts w:ascii="Times New Roman" w:hAnsi="Times New Roman" w:cs="Times New Roman" w:hint="default"/>
    </w:rPr>
  </w:style>
  <w:style w:type="character" w:customStyle="1" w:styleId="msid322911">
    <w:name w:val="ms__id322911"/>
    <w:rsid w:val="00A8765E"/>
    <w:rPr>
      <w:rFonts w:ascii="Times New Roman" w:hAnsi="Times New Roman" w:cs="Times New Roman" w:hint="default"/>
    </w:rPr>
  </w:style>
  <w:style w:type="character" w:customStyle="1" w:styleId="msid322941">
    <w:name w:val="ms__id322941"/>
    <w:rsid w:val="00A8765E"/>
    <w:rPr>
      <w:rFonts w:ascii="Times New Roman" w:hAnsi="Times New Roman" w:cs="Times New Roman" w:hint="default"/>
    </w:rPr>
  </w:style>
  <w:style w:type="character" w:customStyle="1" w:styleId="msid322961">
    <w:name w:val="ms__id322961"/>
    <w:rsid w:val="00A8765E"/>
    <w:rPr>
      <w:rFonts w:ascii="Times New Roman" w:hAnsi="Times New Roman" w:cs="Times New Roman" w:hint="default"/>
    </w:rPr>
  </w:style>
  <w:style w:type="character" w:customStyle="1" w:styleId="msid322971">
    <w:name w:val="ms__id322971"/>
    <w:rsid w:val="00A8765E"/>
    <w:rPr>
      <w:rFonts w:ascii="Times New Roman" w:hAnsi="Times New Roman" w:cs="Times New Roman" w:hint="default"/>
    </w:rPr>
  </w:style>
  <w:style w:type="character" w:customStyle="1" w:styleId="msid322991">
    <w:name w:val="ms__id322991"/>
    <w:rsid w:val="00A8765E"/>
    <w:rPr>
      <w:rFonts w:ascii="Times New Roman" w:hAnsi="Times New Roman" w:cs="Times New Roman" w:hint="default"/>
    </w:rPr>
  </w:style>
  <w:style w:type="character" w:customStyle="1" w:styleId="msid323011">
    <w:name w:val="ms__id323011"/>
    <w:rsid w:val="00A8765E"/>
    <w:rPr>
      <w:rFonts w:ascii="Times New Roman" w:hAnsi="Times New Roman" w:cs="Times New Roman" w:hint="default"/>
    </w:rPr>
  </w:style>
  <w:style w:type="character" w:customStyle="1" w:styleId="msid323031">
    <w:name w:val="ms__id323031"/>
    <w:rsid w:val="00A8765E"/>
    <w:rPr>
      <w:rFonts w:ascii="Times New Roman" w:hAnsi="Times New Roman" w:cs="Times New Roman" w:hint="default"/>
    </w:rPr>
  </w:style>
  <w:style w:type="character" w:customStyle="1" w:styleId="msid323071">
    <w:name w:val="ms__id323071"/>
    <w:rsid w:val="00A8765E"/>
    <w:rPr>
      <w:rFonts w:ascii="Times New Roman" w:hAnsi="Times New Roman" w:cs="Times New Roman" w:hint="default"/>
    </w:rPr>
  </w:style>
  <w:style w:type="character" w:customStyle="1" w:styleId="msid323091">
    <w:name w:val="ms__id323091"/>
    <w:rsid w:val="00A8765E"/>
    <w:rPr>
      <w:rFonts w:ascii="Times New Roman" w:hAnsi="Times New Roman" w:cs="Times New Roman" w:hint="default"/>
    </w:rPr>
  </w:style>
  <w:style w:type="character" w:customStyle="1" w:styleId="msid323111">
    <w:name w:val="ms__id323111"/>
    <w:rsid w:val="00A8765E"/>
    <w:rPr>
      <w:rFonts w:ascii="Times New Roman" w:hAnsi="Times New Roman" w:cs="Times New Roman" w:hint="default"/>
    </w:rPr>
  </w:style>
  <w:style w:type="character" w:customStyle="1" w:styleId="msid323131">
    <w:name w:val="ms__id323131"/>
    <w:rsid w:val="00A8765E"/>
    <w:rPr>
      <w:rFonts w:ascii="Times New Roman" w:hAnsi="Times New Roman" w:cs="Times New Roman" w:hint="default"/>
    </w:rPr>
  </w:style>
  <w:style w:type="character" w:customStyle="1" w:styleId="msid323151">
    <w:name w:val="ms__id323151"/>
    <w:rsid w:val="00A8765E"/>
    <w:rPr>
      <w:rFonts w:ascii="Times New Roman" w:hAnsi="Times New Roman" w:cs="Times New Roman" w:hint="default"/>
    </w:rPr>
  </w:style>
  <w:style w:type="character" w:customStyle="1" w:styleId="Heading1Char">
    <w:name w:val="Heading 1 Char"/>
    <w:link w:val="Heading1"/>
    <w:rsid w:val="00933C5B"/>
    <w:rPr>
      <w:rFonts w:ascii="Cambria" w:eastAsia="Times New Roman" w:hAnsi="Cambria" w:cs="Times New Roman"/>
      <w:b/>
      <w:bCs/>
      <w:kern w:val="32"/>
      <w:sz w:val="32"/>
      <w:szCs w:val="32"/>
      <w:lang w:val="de-DE" w:eastAsia="zh-CN"/>
    </w:rPr>
  </w:style>
  <w:style w:type="character" w:customStyle="1" w:styleId="HeaderChar">
    <w:name w:val="Header Char"/>
    <w:basedOn w:val="DefaultParagraphFont"/>
    <w:link w:val="Header"/>
    <w:uiPriority w:val="99"/>
    <w:rsid w:val="00B76FC7"/>
    <w:rPr>
      <w:sz w:val="24"/>
      <w:szCs w:val="24"/>
      <w:lang w:val="de-DE" w:eastAsia="zh-CN"/>
    </w:rPr>
  </w:style>
  <w:style w:type="table" w:styleId="TableGrid">
    <w:name w:val="Table Grid"/>
    <w:basedOn w:val="TableNormal"/>
    <w:rsid w:val="008350DB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A5761E"/>
    <w:rPr>
      <w:sz w:val="24"/>
      <w:szCs w:val="24"/>
      <w:lang w:val="de-DE" w:eastAsia="zh-CN"/>
    </w:rPr>
  </w:style>
  <w:style w:type="paragraph" w:customStyle="1" w:styleId="Default">
    <w:name w:val="Default"/>
    <w:rsid w:val="00301F40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val="en-US" w:eastAsia="en-US"/>
    </w:rPr>
  </w:style>
  <w:style w:type="character" w:customStyle="1" w:styleId="hps">
    <w:name w:val="hps"/>
    <w:basedOn w:val="DefaultParagraphFont"/>
    <w:rsid w:val="00881366"/>
  </w:style>
  <w:style w:type="paragraph" w:customStyle="1" w:styleId="t-9-8">
    <w:name w:val="t-9-8"/>
    <w:basedOn w:val="Normal"/>
    <w:rsid w:val="002B6095"/>
    <w:pPr>
      <w:spacing w:before="100" w:beforeAutospacing="1" w:after="100" w:afterAutospacing="1"/>
      <w:ind w:left="0"/>
      <w:jc w:val="left"/>
    </w:pPr>
    <w:rPr>
      <w:rFonts w:eastAsia="Times New Roman"/>
      <w:lang w:val="en-US" w:eastAsia="en-US"/>
    </w:rPr>
  </w:style>
  <w:style w:type="table" w:styleId="TableList3">
    <w:name w:val="Table List 3"/>
    <w:basedOn w:val="TableNormal"/>
    <w:rsid w:val="00F377DD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rsid w:val="008543FD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uiPriority w:val="99"/>
    <w:unhideWhenUsed/>
    <w:rsid w:val="00D030BD"/>
    <w:pPr>
      <w:spacing w:before="100" w:beforeAutospacing="1" w:after="100" w:afterAutospacing="1"/>
      <w:ind w:left="0"/>
      <w:jc w:val="left"/>
    </w:pPr>
    <w:rPr>
      <w:rFonts w:eastAsia="Times New Roman"/>
      <w:lang w:val="en-GB" w:eastAsia="en-GB"/>
    </w:rPr>
  </w:style>
  <w:style w:type="character" w:customStyle="1" w:styleId="notranslate">
    <w:name w:val="notranslate"/>
    <w:basedOn w:val="DefaultParagraphFont"/>
    <w:rsid w:val="001D178D"/>
  </w:style>
  <w:style w:type="character" w:customStyle="1" w:styleId="google-src-text1">
    <w:name w:val="google-src-text1"/>
    <w:basedOn w:val="DefaultParagraphFont"/>
    <w:rsid w:val="001D178D"/>
    <w:rPr>
      <w:vanish/>
      <w:webHidden w:val="0"/>
      <w:specVanish w:val="0"/>
    </w:rPr>
  </w:style>
  <w:style w:type="paragraph" w:customStyle="1" w:styleId="doc-ti2">
    <w:name w:val="doc-ti2"/>
    <w:basedOn w:val="Normal"/>
    <w:rsid w:val="001D178D"/>
    <w:pPr>
      <w:spacing w:before="265" w:after="132" w:line="312" w:lineRule="atLeast"/>
      <w:ind w:left="0"/>
      <w:jc w:val="center"/>
    </w:pPr>
    <w:rPr>
      <w:rFonts w:eastAsia="Times New Roman"/>
      <w:b/>
      <w:bCs/>
      <w:lang w:val="lv-LV" w:eastAsia="lv-LV"/>
    </w:rPr>
  </w:style>
  <w:style w:type="character" w:styleId="Emphasis">
    <w:name w:val="Emphasis"/>
    <w:basedOn w:val="DefaultParagraphFont"/>
    <w:uiPriority w:val="20"/>
    <w:qFormat/>
    <w:rsid w:val="00B21D83"/>
    <w:rPr>
      <w:rFonts w:ascii="Serifa Roman Italic" w:hAnsi="Serifa Roman Italic" w:hint="default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25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2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174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275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9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3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6035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6953768">
                  <w:blockQuote w:val="1"/>
                  <w:marLeft w:val="72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266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6057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751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372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76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253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6932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333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84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24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47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5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3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7099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0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46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834663">
      <w:bodyDiv w:val="1"/>
      <w:marLeft w:val="90"/>
      <w:marRight w:val="0"/>
      <w:marTop w:val="6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311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59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110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136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388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129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6797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3970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69061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06638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771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697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96131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9526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88127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91248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52530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68396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327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6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97192">
          <w:marLeft w:val="720"/>
          <w:marRight w:val="0"/>
          <w:marTop w:val="0"/>
          <w:marBottom w:val="2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00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0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85108-2F81-467E-B206-35CC12865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/>
  <cp:revision>1</cp:revision>
  <dcterms:created xsi:type="dcterms:W3CDTF">2019-02-24T21:20:00Z</dcterms:created>
  <dcterms:modified xsi:type="dcterms:W3CDTF">2020-12-03T13:49:00Z</dcterms:modified>
</cp:coreProperties>
</file>