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806" w:type="dxa"/>
        <w:tblInd w:w="-162" w:type="dxa"/>
        <w:tblLayout w:type="fixed"/>
        <w:tblLook w:val="00A0" w:firstRow="1" w:lastRow="0" w:firstColumn="1" w:lastColumn="0" w:noHBand="0" w:noVBand="0"/>
      </w:tblPr>
      <w:tblGrid>
        <w:gridCol w:w="1639"/>
        <w:gridCol w:w="2978"/>
        <w:gridCol w:w="2553"/>
        <w:gridCol w:w="2636"/>
      </w:tblGrid>
      <w:tr w:rsidR="00620B6E" w:rsidRPr="00512303" w14:paraId="123579B6" w14:textId="77777777" w:rsidTr="009B798A">
        <w:trPr>
          <w:trHeight w:val="333"/>
        </w:trPr>
        <w:tc>
          <w:tcPr>
            <w:tcW w:w="163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B8225E" w14:textId="77777777" w:rsidR="001D7965" w:rsidRPr="00512303" w:rsidRDefault="001D7965" w:rsidP="00E90F8C">
            <w:pPr>
              <w:snapToGrid w:val="0"/>
              <w:ind w:firstLine="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>Ministarstvo regionalnoga razvoja i fondova europske unije</w:t>
            </w:r>
            <w:r w:rsidR="00E90F8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>(MRRFEU)</w:t>
            </w:r>
          </w:p>
        </w:tc>
        <w:tc>
          <w:tcPr>
            <w:tcW w:w="2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0B3FCB" w14:textId="77777777" w:rsidR="00620B6E" w:rsidRPr="00512303" w:rsidRDefault="00620B6E">
            <w:pPr>
              <w:snapToGrid w:val="0"/>
              <w:ind w:firstLine="18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>PRAVILA</w:t>
            </w:r>
            <w:r w:rsidR="00604AE3"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2014-2020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9B522D" w14:textId="77777777" w:rsidR="00620B6E" w:rsidRPr="00512303" w:rsidRDefault="00620B6E" w:rsidP="00D42A42">
            <w:pPr>
              <w:snapToGrid w:val="0"/>
              <w:ind w:firstLine="18"/>
              <w:rPr>
                <w:rFonts w:ascii="Times New Roman" w:hAnsi="Times New Roman"/>
                <w:b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sz w:val="24"/>
                <w:szCs w:val="24"/>
              </w:rPr>
              <w:t>Br. pravila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C2C8A" w14:textId="77777777" w:rsidR="00620B6E" w:rsidRPr="00512303" w:rsidRDefault="001D7965">
            <w:pPr>
              <w:snapToGrid w:val="0"/>
              <w:ind w:firstLine="18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sz w:val="24"/>
                <w:szCs w:val="24"/>
              </w:rPr>
              <w:t>13</w:t>
            </w:r>
          </w:p>
        </w:tc>
      </w:tr>
      <w:tr w:rsidR="004C0F54" w:rsidRPr="00512303" w14:paraId="11769D93" w14:textId="77777777" w:rsidTr="009B798A">
        <w:trPr>
          <w:trHeight w:val="145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AEAD9" w14:textId="77777777" w:rsidR="004C0F54" w:rsidRPr="00512303" w:rsidRDefault="004C0F54" w:rsidP="004C0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60555B" w14:textId="77777777" w:rsidR="004C0F54" w:rsidRPr="00512303" w:rsidRDefault="004C0F54" w:rsidP="004C0F5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>Nepravilnosti</w:t>
            </w:r>
          </w:p>
          <w:p w14:paraId="2EB76BB0" w14:textId="77777777" w:rsidR="004C0F54" w:rsidRPr="00512303" w:rsidRDefault="004C0F54" w:rsidP="004C0F5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14:paraId="4DAAFA81" w14:textId="77777777" w:rsidR="004C0F54" w:rsidRPr="00512303" w:rsidRDefault="004C0F54" w:rsidP="004C0F54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>Prilog 03</w:t>
            </w: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591037" w14:textId="77777777" w:rsidR="004C0F54" w:rsidRPr="00512303" w:rsidRDefault="004C0F54" w:rsidP="004C0F54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sz w:val="24"/>
                <w:szCs w:val="24"/>
              </w:rPr>
              <w:t xml:space="preserve">Datum 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CFD04A" w14:textId="489C4A8B" w:rsidR="004C0F54" w:rsidRPr="00056716" w:rsidRDefault="00983CD8" w:rsidP="002E71E2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Prosinac</w:t>
            </w:r>
            <w:r w:rsidR="000B433D" w:rsidRPr="00056716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2E71E2" w:rsidRPr="00056716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2E71E2">
              <w:rPr>
                <w:rFonts w:ascii="Times New Roman" w:hAnsi="Times New Roman"/>
                <w:b/>
                <w:sz w:val="24"/>
                <w:szCs w:val="24"/>
              </w:rPr>
              <w:t>20</w:t>
            </w:r>
            <w:r w:rsidR="004C0F54" w:rsidRPr="00056716">
              <w:rPr>
                <w:rFonts w:ascii="Times New Roman" w:hAnsi="Times New Roman"/>
                <w:b/>
                <w:sz w:val="24"/>
                <w:szCs w:val="24"/>
              </w:rPr>
              <w:t xml:space="preserve">. </w:t>
            </w:r>
          </w:p>
        </w:tc>
      </w:tr>
      <w:tr w:rsidR="004C0F54" w:rsidRPr="00512303" w14:paraId="67219B40" w14:textId="77777777" w:rsidTr="009B798A">
        <w:trPr>
          <w:trHeight w:val="145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87B917" w14:textId="77777777" w:rsidR="004C0F54" w:rsidRPr="00512303" w:rsidRDefault="004C0F54" w:rsidP="004C0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D47309" w14:textId="77777777" w:rsidR="004C0F54" w:rsidRPr="00512303" w:rsidRDefault="004C0F54" w:rsidP="004C0F54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DE546" w14:textId="77777777" w:rsidR="004C0F54" w:rsidRPr="00512303" w:rsidRDefault="004C0F54" w:rsidP="004C0F54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sz w:val="24"/>
                <w:szCs w:val="24"/>
              </w:rPr>
              <w:t>Verzija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61B9CC" w14:textId="6278DC88" w:rsidR="004C0F54" w:rsidRPr="00056716" w:rsidRDefault="005B75F5" w:rsidP="004C0F54">
            <w:pPr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eastAsia="SimSun" w:hAnsi="Times New Roman"/>
                <w:b/>
                <w:sz w:val="24"/>
                <w:szCs w:val="24"/>
              </w:rPr>
              <w:t>7</w:t>
            </w:r>
            <w:r w:rsidR="004C0F54" w:rsidRPr="00056716">
              <w:rPr>
                <w:rFonts w:ascii="Times New Roman" w:eastAsia="SimSun" w:hAnsi="Times New Roman"/>
                <w:b/>
                <w:sz w:val="24"/>
                <w:szCs w:val="24"/>
              </w:rPr>
              <w:t>.0</w:t>
            </w:r>
          </w:p>
        </w:tc>
      </w:tr>
      <w:tr w:rsidR="00620B6E" w:rsidRPr="00512303" w14:paraId="237E8D15" w14:textId="77777777" w:rsidTr="00E90F8C">
        <w:trPr>
          <w:trHeight w:val="688"/>
        </w:trPr>
        <w:tc>
          <w:tcPr>
            <w:tcW w:w="163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4DE5C8" w14:textId="77777777" w:rsidR="00620B6E" w:rsidRPr="00512303" w:rsidRDefault="00620B6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97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74E2FA" w14:textId="77777777" w:rsidR="00620B6E" w:rsidRPr="00512303" w:rsidRDefault="00620B6E">
            <w:pPr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  <w:tc>
          <w:tcPr>
            <w:tcW w:w="2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3468F0" w14:textId="77777777" w:rsidR="00620B6E" w:rsidRPr="00512303" w:rsidRDefault="005D5493" w:rsidP="00B34A4E">
            <w:pPr>
              <w:snapToGrid w:val="0"/>
              <w:rPr>
                <w:rFonts w:ascii="Times New Roman" w:hAnsi="Times New Roman"/>
                <w:b/>
                <w:sz w:val="24"/>
                <w:szCs w:val="24"/>
              </w:rPr>
            </w:pPr>
            <w:r w:rsidRPr="005D5493">
              <w:rPr>
                <w:rFonts w:ascii="Times New Roman" w:hAnsi="Times New Roman"/>
                <w:b/>
                <w:sz w:val="24"/>
                <w:szCs w:val="24"/>
              </w:rPr>
              <w:t>Pravilo donosi</w:t>
            </w:r>
          </w:p>
        </w:tc>
        <w:tc>
          <w:tcPr>
            <w:tcW w:w="26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2AA8A0B" w14:textId="51B14152" w:rsidR="00620B6E" w:rsidRPr="00512303" w:rsidRDefault="00E15377" w:rsidP="00C83A48">
            <w:pPr>
              <w:snapToGrid w:val="0"/>
              <w:jc w:val="center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>Minist</w:t>
            </w:r>
            <w:r w:rsidR="005B75F5">
              <w:rPr>
                <w:rFonts w:ascii="Times New Roman" w:hAnsi="Times New Roman"/>
                <w:b/>
                <w:bCs/>
                <w:sz w:val="24"/>
                <w:szCs w:val="24"/>
              </w:rPr>
              <w:t>rica</w:t>
            </w:r>
            <w:r w:rsidRPr="00512303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MRRFEU</w:t>
            </w:r>
          </w:p>
        </w:tc>
      </w:tr>
    </w:tbl>
    <w:p w14:paraId="48F7243D" w14:textId="77777777" w:rsidR="00620B6E" w:rsidRPr="00512303" w:rsidRDefault="00620B6E" w:rsidP="00E65A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u w:val="single"/>
          <w:lang w:eastAsia="hr-HR"/>
        </w:rPr>
      </w:pPr>
    </w:p>
    <w:p w14:paraId="4C36082F" w14:textId="77777777" w:rsidR="00620B6E" w:rsidRPr="00681F13" w:rsidRDefault="00620B6E" w:rsidP="00E65A8B">
      <w:pPr>
        <w:spacing w:after="480" w:line="240" w:lineRule="auto"/>
        <w:jc w:val="center"/>
        <w:rPr>
          <w:rFonts w:ascii="Times New Roman" w:hAnsi="Times New Roman"/>
          <w:b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sz w:val="24"/>
          <w:szCs w:val="24"/>
          <w:lang w:eastAsia="hr-HR"/>
        </w:rPr>
        <w:t>ODLUKA O NEPRAVILNOSTI</w:t>
      </w:r>
    </w:p>
    <w:p w14:paraId="4FE4CC9D" w14:textId="77777777" w:rsidR="00F85CF9" w:rsidRPr="00681F13" w:rsidRDefault="00F85CF9" w:rsidP="00E65A8B">
      <w:pPr>
        <w:spacing w:after="48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sz w:val="24"/>
          <w:szCs w:val="24"/>
          <w:lang w:eastAsia="hr-HR"/>
        </w:rPr>
        <w:t>Operativni program „Konkurentnost i kohezija“ 2014.-2020.</w:t>
      </w:r>
    </w:p>
    <w:p w14:paraId="178A7F33" w14:textId="77777777" w:rsidR="00B37EA9" w:rsidRPr="00681F13" w:rsidRDefault="00620B6E" w:rsidP="00B37EA9">
      <w:pPr>
        <w:spacing w:after="48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Cs/>
          <w:color w:val="000000"/>
          <w:sz w:val="24"/>
          <w:szCs w:val="24"/>
          <w:lang w:eastAsia="hr-HR"/>
        </w:rPr>
        <w:t>(Obrazac s uputama za popunjavanje)</w:t>
      </w:r>
    </w:p>
    <w:p w14:paraId="373E8B0A" w14:textId="77777777" w:rsidR="00B37EA9" w:rsidRPr="00681F13" w:rsidRDefault="00B37EA9" w:rsidP="00B37EA9">
      <w:pPr>
        <w:numPr>
          <w:ilvl w:val="0"/>
          <w:numId w:val="2"/>
        </w:numPr>
        <w:spacing w:after="48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Odluka o utvrđenoj nepravilnosti</w:t>
      </w:r>
    </w:p>
    <w:p w14:paraId="7568CB5B" w14:textId="77777777" w:rsidR="00B44721" w:rsidRDefault="00B37EA9" w:rsidP="00B44721">
      <w:pPr>
        <w:numPr>
          <w:ilvl w:val="0"/>
          <w:numId w:val="2"/>
        </w:numPr>
        <w:spacing w:after="120" w:line="240" w:lineRule="auto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Odluka o nepostojanju nepravilnosti</w:t>
      </w:r>
    </w:p>
    <w:p w14:paraId="504E6243" w14:textId="77777777" w:rsidR="00B44721" w:rsidRPr="00B44721" w:rsidRDefault="00B44721" w:rsidP="00B44721">
      <w:pPr>
        <w:spacing w:after="120" w:line="240" w:lineRule="auto"/>
        <w:ind w:left="720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</w:p>
    <w:p w14:paraId="6A1C7616" w14:textId="77777777" w:rsidR="00B37EA9" w:rsidRPr="00681F13" w:rsidRDefault="00B37EA9" w:rsidP="00B37EA9">
      <w:pPr>
        <w:spacing w:after="120" w:line="240" w:lineRule="auto"/>
        <w:ind w:left="720"/>
        <w:jc w:val="both"/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</w:pP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(Zaokružiti</w:t>
      </w:r>
      <w:r w:rsidR="004638BC"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/izbrisati</w:t>
      </w: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 xml:space="preserve"> A ili B, ovisno da li se radi o utvrđenoj nepravilnosti ili o nepostojanju nepravilnosti. </w:t>
      </w:r>
      <w:r w:rsidR="00D91A21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Ispunjavaju se sva polja za koja imate informacije.</w:t>
      </w:r>
      <w:r w:rsidRPr="00681F13">
        <w:rPr>
          <w:rFonts w:ascii="Times New Roman" w:hAnsi="Times New Roman"/>
          <w:b/>
          <w:bCs/>
          <w:color w:val="000000"/>
          <w:sz w:val="24"/>
          <w:szCs w:val="24"/>
          <w:lang w:eastAsia="hr-HR"/>
        </w:rPr>
        <w:t>)</w:t>
      </w:r>
    </w:p>
    <w:p w14:paraId="60EB0A59" w14:textId="77777777" w:rsidR="00620B6E" w:rsidRPr="00681F13" w:rsidRDefault="00620B6E" w:rsidP="00E65A8B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  <w:lang w:eastAsia="hr-HR"/>
        </w:rPr>
      </w:pP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97"/>
        <w:gridCol w:w="6642"/>
      </w:tblGrid>
      <w:tr w:rsidR="00620B6E" w:rsidRPr="00681F13" w14:paraId="1940F867" w14:textId="77777777" w:rsidTr="00970797">
        <w:trPr>
          <w:trHeight w:val="340"/>
        </w:trPr>
        <w:tc>
          <w:tcPr>
            <w:tcW w:w="2997" w:type="dxa"/>
            <w:vAlign w:val="center"/>
          </w:tcPr>
          <w:p w14:paraId="33F8E8CD" w14:textId="77777777" w:rsidR="00620B6E" w:rsidRPr="00681F13" w:rsidRDefault="00620B6E" w:rsidP="00825C61">
            <w:pPr>
              <w:spacing w:after="0" w:line="240" w:lineRule="auto"/>
              <w:ind w:firstLine="284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Broj slučaja nepravilnosti</w:t>
            </w:r>
          </w:p>
        </w:tc>
        <w:tc>
          <w:tcPr>
            <w:tcW w:w="6642" w:type="dxa"/>
            <w:vAlign w:val="center"/>
          </w:tcPr>
          <w:p w14:paraId="6F07CC99" w14:textId="77777777" w:rsidR="00620B6E" w:rsidRPr="00681F13" w:rsidRDefault="00620B6E" w:rsidP="00953458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(Broj projekta)/IRR(01,02</w:t>
            </w:r>
            <w:r w:rsidR="00953458"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...)</w:t>
            </w: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11E02F87" w14:textId="77777777" w:rsidTr="00970797">
        <w:trPr>
          <w:trHeight w:val="340"/>
        </w:trPr>
        <w:tc>
          <w:tcPr>
            <w:tcW w:w="2997" w:type="dxa"/>
            <w:vAlign w:val="center"/>
          </w:tcPr>
          <w:p w14:paraId="6C8653C4" w14:textId="77777777" w:rsidR="00620B6E" w:rsidRPr="00681F13" w:rsidRDefault="00620B6E" w:rsidP="00F85CF9">
            <w:pPr>
              <w:spacing w:after="0" w:line="240" w:lineRule="auto"/>
              <w:ind w:firstLine="284"/>
              <w:jc w:val="center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 xml:space="preserve">Institucija koja izrađuje </w:t>
            </w:r>
            <w:r w:rsidR="00F85CF9" w:rsidRPr="00681F13"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  <w:t>Odluku o nepravilnosti</w:t>
            </w:r>
          </w:p>
        </w:tc>
        <w:tc>
          <w:tcPr>
            <w:tcW w:w="6642" w:type="dxa"/>
            <w:vAlign w:val="center"/>
          </w:tcPr>
          <w:p w14:paraId="784889ED" w14:textId="77777777" w:rsidR="00620B6E" w:rsidRPr="00681F13" w:rsidRDefault="00620B6E" w:rsidP="00E65A8B">
            <w:pPr>
              <w:spacing w:after="0" w:line="240" w:lineRule="auto"/>
              <w:rPr>
                <w:rFonts w:ascii="Times New Roman" w:eastAsia="MS Mincho" w:hAnsi="Times New Roman"/>
                <w:bCs/>
                <w:sz w:val="24"/>
                <w:szCs w:val="24"/>
                <w:lang w:eastAsia="hr-HR"/>
              </w:rPr>
            </w:pPr>
          </w:p>
        </w:tc>
      </w:tr>
    </w:tbl>
    <w:p w14:paraId="608C0D35" w14:textId="77777777" w:rsidR="00620B6E" w:rsidRPr="00681F13" w:rsidRDefault="00620B6E" w:rsidP="00E65A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77E388CF" w14:textId="77777777" w:rsidR="00970797" w:rsidRPr="00681F13" w:rsidRDefault="00970797" w:rsidP="00E65A8B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tbl>
      <w:tblPr>
        <w:tblW w:w="96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25"/>
        <w:gridCol w:w="1156"/>
        <w:gridCol w:w="461"/>
        <w:gridCol w:w="851"/>
        <w:gridCol w:w="709"/>
        <w:gridCol w:w="557"/>
        <w:gridCol w:w="1280"/>
      </w:tblGrid>
      <w:tr w:rsidR="00620B6E" w:rsidRPr="00681F13" w14:paraId="6A17184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F04763E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br w:type="page"/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POLJA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ZA POPUNJAVANJE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90AE8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UPUTE ZA POPUNJAVANJE</w:t>
            </w:r>
          </w:p>
          <w:p w14:paraId="3C642CCA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</w:p>
        </w:tc>
      </w:tr>
      <w:tr w:rsidR="00620B6E" w:rsidRPr="00681F13" w14:paraId="114013CF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30C106D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DEDFE4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</w:tr>
      <w:tr w:rsidR="00620B6E" w:rsidRPr="00681F13" w14:paraId="1EA6BAC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44A7D7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1. INFORMACIJE O PROJEKTU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EE7D36B" w14:textId="77777777" w:rsidR="00620B6E" w:rsidRPr="00681F13" w:rsidRDefault="00620B6E" w:rsidP="00E65A8B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60D424E5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7D58A83A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ind w:left="720" w:hanging="715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1.1.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Broj projekta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3AB8E6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>Navesti broj projekta</w:t>
            </w:r>
          </w:p>
        </w:tc>
      </w:tr>
      <w:tr w:rsidR="00620B6E" w:rsidRPr="00681F13" w14:paraId="0F052669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598611F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ind w:left="720" w:hanging="715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1.2. Naziv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/ime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korisnika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1D2CCBD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Navesti </w:t>
            </w:r>
          </w:p>
        </w:tc>
      </w:tr>
      <w:tr w:rsidR="00620B6E" w:rsidRPr="00681F13" w14:paraId="2A3B9224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539F4304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left="720" w:hanging="715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1.3. Na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ziv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projekta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DADC21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Navesti </w:t>
            </w:r>
          </w:p>
        </w:tc>
      </w:tr>
      <w:tr w:rsidR="00620B6E" w:rsidRPr="00681F13" w14:paraId="49BFDCC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4A6232BD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1.4.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Fond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415753" w14:textId="77777777" w:rsidR="00620B6E" w:rsidRPr="00681F13" w:rsidRDefault="00620B6E" w:rsidP="00604D90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vrstu </w:t>
            </w:r>
            <w:r w:rsidR="00604D90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Fonda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, odnosno: EFRR, ESF, KF</w:t>
            </w:r>
          </w:p>
        </w:tc>
      </w:tr>
      <w:tr w:rsidR="00620B6E" w:rsidRPr="00681F13" w14:paraId="6C62AE41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84842B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1.5. Oblik financiranja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CF5E54" w14:textId="77777777" w:rsidR="00620B6E" w:rsidRPr="00681F13" w:rsidRDefault="00620B6E" w:rsidP="00D80A9D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oblik finan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ciranja koji se primjenjuje u odnosu na  p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rojekt 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koji je obuhvaćen nepravilnošću (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bespovratna sredstva, zajam, kapital rizika</w:t>
            </w:r>
            <w:r w:rsidR="00D80A9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, itd.)</w:t>
            </w:r>
          </w:p>
        </w:tc>
      </w:tr>
      <w:tr w:rsidR="00620B6E" w:rsidRPr="00681F13" w14:paraId="229FAA9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0C3E97A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1.6. Projektni partneri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8E27497" w14:textId="325F5B19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projektne partnere (ako je primjenjivo) </w:t>
            </w:r>
          </w:p>
        </w:tc>
      </w:tr>
      <w:tr w:rsidR="00620B6E" w:rsidRPr="00681F13" w14:paraId="44EF0919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260EFEC" w14:textId="77777777" w:rsidR="00620B6E" w:rsidRPr="00681F13" w:rsidRDefault="00620B6E" w:rsidP="00C10310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2. INFORMACIJE O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3BE114FD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4BAC4CC7" w14:textId="77777777" w:rsidTr="00970797">
        <w:trPr>
          <w:trHeight w:val="1002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2E70717" w14:textId="0F36A5E7" w:rsidR="00620B6E" w:rsidRPr="00681F13" w:rsidRDefault="00970797" w:rsidP="00613905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2.1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Načini otkrivanja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07D612" w14:textId="77777777" w:rsidR="00620B6E" w:rsidRPr="00681F13" w:rsidRDefault="00D80A9D" w:rsidP="00970797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Opisati</w:t>
            </w:r>
            <w:r w:rsidR="00970797"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način otkrivanja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nepravilnosti</w:t>
            </w:r>
          </w:p>
        </w:tc>
      </w:tr>
      <w:tr w:rsidR="00620B6E" w:rsidRPr="00681F13" w14:paraId="1F30CC8A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C0A38C6" w14:textId="3E873DE6" w:rsidR="00620B6E" w:rsidRPr="00681F13" w:rsidRDefault="00970797" w:rsidP="00825C61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2.2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Modus operandi nepravilnosti, detaljna procjena slučaja nepravilnosti i odluka o nepravilnosti</w:t>
            </w:r>
          </w:p>
        </w:tc>
      </w:tr>
      <w:tr w:rsidR="00620B6E" w:rsidRPr="00681F13" w14:paraId="44540ABE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237DFC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Dati detaljnu procjenu slučaja nepravilnosti koja vodi do zaključka i </w:t>
            </w:r>
            <w:r w:rsidRPr="00456FA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odluke o </w:t>
            </w:r>
            <w:r w:rsidR="003F00BE" w:rsidRPr="00456FAF">
              <w:rPr>
                <w:rFonts w:ascii="Times New Roman" w:eastAsia="MS Mincho" w:hAnsi="Times New Roman"/>
                <w:b/>
                <w:sz w:val="24"/>
                <w:szCs w:val="24"/>
              </w:rPr>
              <w:t xml:space="preserve">utvrđenoj </w:t>
            </w:r>
            <w:r w:rsidRPr="00456FAF">
              <w:rPr>
                <w:rFonts w:ascii="Times New Roman" w:eastAsia="MS Mincho" w:hAnsi="Times New Roman"/>
                <w:b/>
                <w:sz w:val="24"/>
                <w:szCs w:val="24"/>
              </w:rPr>
              <w:t>nepravilnosti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, u kojoj se navode:</w:t>
            </w:r>
          </w:p>
          <w:p w14:paraId="22A4FAB3" w14:textId="77777777" w:rsidR="00970797" w:rsidRPr="00681F13" w:rsidRDefault="00970797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datum otkrivanja nepravilnosti</w:t>
            </w:r>
          </w:p>
          <w:p w14:paraId="2E3269D0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osnovne informacije o samom projektu/ugovoru u kojem je utvrđena nepravilnosti (naziv projekta/ugovora, ugovorne strane, naziv gospodarskog subjekta, datumi potpisivanja ugovora,  aktivnosti/komponente projekta, itd.)</w:t>
            </w:r>
          </w:p>
          <w:p w14:paraId="5F1220A9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dokumenti, činjenice, prikupljeni i analizirani podaci;</w:t>
            </w:r>
          </w:p>
          <w:p w14:paraId="557BD3E7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korišteni instrumenti za ispitivanje;</w:t>
            </w:r>
          </w:p>
          <w:p w14:paraId="0A7D1CF6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mišljenja i zaključci drugih institucija uključenih u ispitivanje;</w:t>
            </w:r>
          </w:p>
          <w:p w14:paraId="7CCCCD40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- primjenjivi </w:t>
            </w:r>
            <w:r w:rsidR="00D80A9D" w:rsidRPr="00681F13">
              <w:rPr>
                <w:rFonts w:ascii="Times New Roman" w:eastAsia="MS Mincho" w:hAnsi="Times New Roman"/>
                <w:sz w:val="24"/>
                <w:szCs w:val="24"/>
              </w:rPr>
              <w:t>propisi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i tumačenje odredbi;</w:t>
            </w:r>
          </w:p>
          <w:p w14:paraId="57EAFFD1" w14:textId="77777777" w:rsidR="00620B6E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- analiza elemenata definicije nepravilnosti (</w:t>
            </w:r>
            <w:r w:rsidR="00D80A9D" w:rsidRPr="00681F13">
              <w:rPr>
                <w:rFonts w:ascii="Times New Roman" w:eastAsia="MS Mincho" w:hAnsi="Times New Roman"/>
                <w:sz w:val="24"/>
                <w:szCs w:val="24"/>
              </w:rPr>
              <w:t>prekršeni propisi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, procjena financijskog učinka, itd.)</w:t>
            </w:r>
          </w:p>
          <w:p w14:paraId="6D64E098" w14:textId="77777777" w:rsidR="003F00BE" w:rsidRPr="00681F13" w:rsidRDefault="003F00B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>
              <w:rPr>
                <w:rFonts w:ascii="Times New Roman" w:eastAsia="MS Mincho" w:hAnsi="Times New Roman"/>
                <w:sz w:val="24"/>
                <w:szCs w:val="24"/>
              </w:rPr>
              <w:t>- i druge dostupne informacije.</w:t>
            </w:r>
          </w:p>
          <w:p w14:paraId="52092818" w14:textId="77777777" w:rsidR="00620B6E" w:rsidRPr="00681F13" w:rsidRDefault="00620B6E" w:rsidP="003F00BE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3F00BE" w:rsidRPr="00681F13" w14:paraId="1E048515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72CF5AF" w14:textId="77777777" w:rsidR="003F00BE" w:rsidRPr="00BF168E" w:rsidRDefault="003F00BE" w:rsidP="003F00BE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D</w:t>
            </w:r>
            <w:r w:rsidRPr="00BF168E">
              <w:rPr>
                <w:rFonts w:ascii="Times New Roman" w:eastAsia="MS Mincho" w:hAnsi="Times New Roman"/>
              </w:rPr>
              <w:t>etaljn</w:t>
            </w:r>
            <w:r>
              <w:rPr>
                <w:rFonts w:ascii="Times New Roman" w:eastAsia="MS Mincho" w:hAnsi="Times New Roman"/>
              </w:rPr>
              <w:t>a</w:t>
            </w:r>
            <w:r w:rsidRPr="00BF168E">
              <w:rPr>
                <w:rFonts w:ascii="Times New Roman" w:eastAsia="MS Mincho" w:hAnsi="Times New Roman"/>
              </w:rPr>
              <w:t xml:space="preserve"> procjen</w:t>
            </w:r>
            <w:r>
              <w:rPr>
                <w:rFonts w:ascii="Times New Roman" w:eastAsia="MS Mincho" w:hAnsi="Times New Roman"/>
              </w:rPr>
              <w:t>a</w:t>
            </w:r>
            <w:r w:rsidRPr="00BF168E">
              <w:rPr>
                <w:rFonts w:ascii="Times New Roman" w:eastAsia="MS Mincho" w:hAnsi="Times New Roman"/>
              </w:rPr>
              <w:t xml:space="preserve"> slučaja nepravilnosti koja vodi do zaključka i </w:t>
            </w:r>
            <w:r w:rsidRPr="00BF168E">
              <w:rPr>
                <w:rFonts w:ascii="Times New Roman" w:eastAsia="MS Mincho" w:hAnsi="Times New Roman"/>
                <w:b/>
              </w:rPr>
              <w:t>odluke o nepostojanju nepravilnosti</w:t>
            </w:r>
            <w:r w:rsidRPr="00BF168E">
              <w:rPr>
                <w:rFonts w:ascii="Times New Roman" w:eastAsia="MS Mincho" w:hAnsi="Times New Roman"/>
              </w:rPr>
              <w:t>, u kojoj se navode:</w:t>
            </w:r>
          </w:p>
          <w:p w14:paraId="42DA3289" w14:textId="77777777" w:rsidR="003F00BE" w:rsidRPr="00BF168E" w:rsidRDefault="003F00BE" w:rsidP="003F0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osnovne informacije o samom projektu/ugovoru (naziv projekta/ugovora, ugovorne strane, naziv gospodarskog subjekta, datumi potpisivanja ugovora, aktivnosti/komponente projekta, itd.)</w:t>
            </w:r>
          </w:p>
          <w:p w14:paraId="47D18431" w14:textId="77777777" w:rsidR="003F00BE" w:rsidRPr="00BF168E" w:rsidRDefault="003F00BE" w:rsidP="003F0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dokumenti, činjenice, prikupljeni i analizirani podaci;</w:t>
            </w:r>
          </w:p>
          <w:p w14:paraId="4BC91E26" w14:textId="77777777" w:rsidR="003F00BE" w:rsidRPr="00BF168E" w:rsidRDefault="003F00BE" w:rsidP="003F0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korišteni instrumenti za</w:t>
            </w:r>
            <w:r>
              <w:rPr>
                <w:rFonts w:ascii="Times New Roman" w:eastAsia="MS Mincho" w:hAnsi="Times New Roman"/>
              </w:rPr>
              <w:t xml:space="preserve"> </w:t>
            </w:r>
            <w:r w:rsidRPr="00BF168E">
              <w:rPr>
                <w:rFonts w:ascii="Times New Roman" w:eastAsia="MS Mincho" w:hAnsi="Times New Roman"/>
              </w:rPr>
              <w:t>utvrđivanje nepravilnosti;</w:t>
            </w:r>
          </w:p>
          <w:p w14:paraId="7D96632E" w14:textId="77777777" w:rsidR="003F00BE" w:rsidRPr="00BF168E" w:rsidRDefault="003F00BE" w:rsidP="003F0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mišljenja i zaključci drugih institucija;</w:t>
            </w:r>
          </w:p>
          <w:p w14:paraId="0D67D194" w14:textId="77777777" w:rsidR="003F00BE" w:rsidRDefault="003F00BE" w:rsidP="003F0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 w:rsidRPr="00BF168E">
              <w:rPr>
                <w:rFonts w:ascii="Times New Roman" w:eastAsia="MS Mincho" w:hAnsi="Times New Roman"/>
              </w:rPr>
              <w:t>primjenjivi za</w:t>
            </w:r>
            <w:r>
              <w:rPr>
                <w:rFonts w:ascii="Times New Roman" w:eastAsia="MS Mincho" w:hAnsi="Times New Roman"/>
              </w:rPr>
              <w:t>konski akti i tumačenje odredbi;</w:t>
            </w:r>
          </w:p>
          <w:p w14:paraId="62DFC39A" w14:textId="77777777" w:rsidR="003F00BE" w:rsidRPr="00BF168E" w:rsidRDefault="003F00BE" w:rsidP="003F00BE">
            <w:pPr>
              <w:pStyle w:val="ListParagraph"/>
              <w:numPr>
                <w:ilvl w:val="0"/>
                <w:numId w:val="3"/>
              </w:num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</w:rPr>
            </w:pPr>
            <w:r>
              <w:rPr>
                <w:rFonts w:ascii="Times New Roman" w:eastAsia="MS Mincho" w:hAnsi="Times New Roman"/>
              </w:rPr>
              <w:t>i druge dostupne informacije.</w:t>
            </w:r>
          </w:p>
          <w:p w14:paraId="3D5FC48F" w14:textId="77777777" w:rsidR="003F00BE" w:rsidRPr="00681F13" w:rsidRDefault="003F00BE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7F034F" w:rsidRPr="00681F13" w14:paraId="24D65247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E723605" w14:textId="655E761F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2.3. Sumnja na prijevaru</w:t>
            </w:r>
          </w:p>
          <w:p w14:paraId="6E8F2AEA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056E4FB1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DA             /           NE</w:t>
            </w:r>
          </w:p>
          <w:p w14:paraId="73F3F65D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713F4F69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Ako je riječ o utvrđenoj nepravilnosti za koju se sumnja da ima elemente kaznenog djela (sumnja na prijevaru) – potrebno je navesti odlučne činjenice i dokaze te ih potkrijepiti odgovarajućim obrazloženjem.</w:t>
            </w:r>
          </w:p>
        </w:tc>
      </w:tr>
      <w:tr w:rsidR="007F034F" w:rsidRPr="00681F13" w14:paraId="6157EA64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D1F2D42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Navesti u skladu s gore opisanim</w:t>
            </w:r>
          </w:p>
          <w:p w14:paraId="4018110C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7652CB8D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7F034F" w:rsidRPr="00681F13" w14:paraId="016C3EEB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C7D613" w14:textId="1DF63E65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2.4. U slučaju sumnje na prijevaru, kada nije izvršeno plaćanj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e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javn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og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doprinosa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 xml:space="preserve"> korisniku, iznos koji bi bio neopravdano isplaćen da nepravilnost nije utvrđena, izraženo na način </w:t>
            </w:r>
            <w:r w:rsidR="006534B6">
              <w:rPr>
                <w:rFonts w:ascii="Times New Roman" w:eastAsia="MS Mincho" w:hAnsi="Times New Roman"/>
                <w:sz w:val="24"/>
                <w:szCs w:val="24"/>
              </w:rPr>
              <w:t>a</w:t>
            </w: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a bude vidljiv i nacionalni doprinos i doprinos Unije.</w:t>
            </w:r>
          </w:p>
        </w:tc>
      </w:tr>
      <w:tr w:rsidR="007F034F" w:rsidRPr="00681F13" w14:paraId="7BE2939E" w14:textId="77777777" w:rsidTr="00D42A42"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0B670B3" w14:textId="77777777" w:rsidR="007F034F" w:rsidRPr="00681F13" w:rsidRDefault="007F034F" w:rsidP="007F034F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  <w:r w:rsidRPr="00681F13">
              <w:rPr>
                <w:rFonts w:ascii="Times New Roman" w:eastAsia="MS Mincho" w:hAnsi="Times New Roman"/>
                <w:sz w:val="24"/>
                <w:szCs w:val="24"/>
              </w:rPr>
              <w:t>Navesti u skladu s gore opisanim</w:t>
            </w:r>
          </w:p>
          <w:p w14:paraId="620E46C3" w14:textId="77777777" w:rsidR="007F034F" w:rsidRPr="00681F13" w:rsidRDefault="007F034F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  <w:p w14:paraId="58BD93F9" w14:textId="77777777" w:rsidR="00735AE7" w:rsidRPr="00681F13" w:rsidRDefault="00735AE7" w:rsidP="00825C61">
            <w:pPr>
              <w:spacing w:after="0" w:line="240" w:lineRule="auto"/>
              <w:ind w:right="136"/>
              <w:jc w:val="both"/>
              <w:rPr>
                <w:rFonts w:ascii="Times New Roman" w:eastAsia="MS Mincho" w:hAnsi="Times New Roman"/>
                <w:sz w:val="24"/>
                <w:szCs w:val="24"/>
              </w:rPr>
            </w:pPr>
          </w:p>
        </w:tc>
      </w:tr>
      <w:tr w:rsidR="00620B6E" w:rsidRPr="00681F13" w14:paraId="2B2D295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E45FE46" w14:textId="6A0CA368" w:rsidR="00620B6E" w:rsidRPr="00681F13" w:rsidRDefault="007F034F" w:rsidP="00E65A8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2.5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Kvalifikacija nepravilnosti</w:t>
            </w:r>
          </w:p>
          <w:p w14:paraId="1E38903C" w14:textId="77777777" w:rsidR="00620B6E" w:rsidRPr="00681F13" w:rsidRDefault="00620B6E" w:rsidP="00E65A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B02083D" w14:textId="77777777" w:rsidR="00620B6E" w:rsidRPr="00681F13" w:rsidRDefault="00620B6E" w:rsidP="00825C61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bCs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Navesti vrstu utvrđene nepravilnosti i odgovarajući kod iz popisa u nastavku: </w:t>
            </w:r>
          </w:p>
          <w:p w14:paraId="18030014" w14:textId="0C649471" w:rsidR="009A00E6" w:rsidRPr="00681F13" w:rsidRDefault="00620B6E" w:rsidP="00825C61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lastRenderedPageBreak/>
              <w:t>„</w:t>
            </w:r>
            <w:r w:rsidRPr="00681F13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IRQ 0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– nema nepravilnosti“ </w:t>
            </w:r>
            <w:r w:rsidR="009A00E6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–</w:t>
            </w:r>
            <w:r w:rsidR="006534B6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</w:t>
            </w:r>
            <w:r w:rsidR="009A00E6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tijekom odgovarajućeg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postupka</w:t>
            </w:r>
            <w:r w:rsidR="0061480A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pred nadležnim tijelom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navodi o</w:t>
            </w:r>
            <w:r w:rsidR="0061480A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postojanju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nepravilnosti ili prijevar</w:t>
            </w:r>
            <w:r w:rsidR="0061480A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e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nisu potvrđeni </w:t>
            </w:r>
          </w:p>
          <w:p w14:paraId="4626B2BE" w14:textId="0AC4768C" w:rsidR="00620B6E" w:rsidRPr="00681F13" w:rsidRDefault="00620B6E" w:rsidP="00825C61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bCs/>
                <w:sz w:val="24"/>
                <w:szCs w:val="24"/>
                <w:lang w:eastAsia="hr-HR"/>
              </w:rPr>
              <w:t>IRQ 2</w:t>
            </w:r>
            <w:r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 xml:space="preserve"> – </w:t>
            </w:r>
            <w:r w:rsidR="001C5E00" w:rsidRPr="00681F13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nepravilnost” znači svako kršenje prava Unije ili nacionalnog prava u vezi s njegovom primjenom koje proizlazi iz djelovanja ili propusta gospodarskog subjekta uključenog u provedbu ESI fondova koje šteti, ili bi moglo naštetiti proračunu Unije, tako da optereti proračun Unije neopravdanim izdatkom (članak 2. Uredbe (EU) br. 1303/2013)</w:t>
            </w:r>
          </w:p>
          <w:p w14:paraId="55A3F4B2" w14:textId="7863E7D0" w:rsidR="00620B6E" w:rsidRPr="00681F13" w:rsidRDefault="00620B6E" w:rsidP="00825C61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IRQ 3 – sumnja na prijevaru“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-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nepravilnost zbog koje se pokreće upravni</w:t>
            </w:r>
            <w:r w:rsidR="003C18E3" w:rsidRPr="00681F13">
              <w:rPr>
                <w:rFonts w:ascii="Times New Roman" w:hAnsi="Times New Roman"/>
                <w:sz w:val="24"/>
                <w:szCs w:val="24"/>
              </w:rPr>
              <w:t xml:space="preserve"> ili sudski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postupak na nacionalnoj razini kako bi se utvrdilo postojanje namjernog ponašanja, naročito prijevare, kako je navedeno u članku </w:t>
            </w:r>
            <w:smartTag w:uri="urn:schemas-microsoft-com:office:smarttags" w:element="metricconverter">
              <w:smartTagPr>
                <w:attr w:name="ProductID" w:val="1. st"/>
              </w:smartTagPr>
              <w:r w:rsidRPr="00681F13">
                <w:rPr>
                  <w:rFonts w:ascii="Times New Roman" w:hAnsi="Times New Roman"/>
                  <w:sz w:val="24"/>
                  <w:szCs w:val="24"/>
                </w:rPr>
                <w:t>1. st</w:t>
              </w:r>
            </w:smartTag>
            <w:r w:rsidR="000462EB">
              <w:rPr>
                <w:rFonts w:ascii="Times New Roman" w:hAnsi="Times New Roman"/>
                <w:sz w:val="24"/>
                <w:szCs w:val="24"/>
              </w:rPr>
              <w:t>avku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1., točk</w:t>
            </w:r>
            <w:r w:rsidR="000462EB">
              <w:rPr>
                <w:rFonts w:ascii="Times New Roman" w:hAnsi="Times New Roman"/>
                <w:sz w:val="24"/>
                <w:szCs w:val="24"/>
              </w:rPr>
              <w:t>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(a) Konvencije o zaštiti financijskih interesa Europskih zajednica;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1480A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Pod pojmom prijevara podrazumijeva se spektar kaznenih djela kako je </w:t>
            </w:r>
            <w:r w:rsidR="003C18E3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navedeno</w:t>
            </w:r>
            <w:r w:rsidR="0061480A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u </w:t>
            </w:r>
            <w:r w:rsidR="003C18E3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Zajedničkom</w:t>
            </w:r>
            <w:r w:rsidR="0061480A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poglavlju</w:t>
            </w:r>
            <w:r w:rsidR="00BF4F05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ZNP-</w:t>
            </w:r>
            <w:r w:rsidR="003C18E3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a „Pravna osnova i zajednički zahtjevi, definicije i kratice“.</w:t>
            </w:r>
          </w:p>
          <w:p w14:paraId="0DEF2A0F" w14:textId="77777777" w:rsidR="00620B6E" w:rsidRPr="00681F13" w:rsidRDefault="00620B6E" w:rsidP="003C18E3">
            <w:pPr>
              <w:spacing w:after="0" w:line="240" w:lineRule="auto"/>
              <w:ind w:right="136" w:firstLine="483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„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IRQ 5 – utvrđena prijevara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sumnja na prijevaru</w:t>
            </w:r>
            <w:r w:rsidR="003C18E3" w:rsidRPr="00681F13">
              <w:rPr>
                <w:rFonts w:ascii="Times New Roman" w:hAnsi="Times New Roman"/>
                <w:sz w:val="24"/>
                <w:szCs w:val="24"/>
              </w:rPr>
              <w:t xml:space="preserve"> na temelju koje se vodio postupak pred nadležnim tijelom je potvrđena tj.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C18E3" w:rsidRPr="00681F13">
              <w:rPr>
                <w:rFonts w:ascii="Times New Roman" w:hAnsi="Times New Roman"/>
                <w:sz w:val="24"/>
                <w:szCs w:val="24"/>
              </w:rPr>
              <w:t>donesena je pravomoćna sudska odluka o počinjenju kaznenog djela (prijevare).</w:t>
            </w:r>
          </w:p>
        </w:tc>
      </w:tr>
      <w:tr w:rsidR="00620B6E" w:rsidRPr="00681F13" w14:paraId="3B8ADCF3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E96ADD0" w14:textId="6412AC25" w:rsidR="00620B6E" w:rsidRPr="00681F13" w:rsidRDefault="007F034F" w:rsidP="003F00BE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2.</w:t>
            </w:r>
            <w:r w:rsidR="000B433D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Prekršene odredbe</w:t>
            </w:r>
            <w:r w:rsidR="003F00BE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EU-a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596F6E6" w14:textId="77777777" w:rsidR="00620B6E" w:rsidRPr="00681F13" w:rsidRDefault="00620B6E" w:rsidP="00F207C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Navesti vrstu prekršenog </w:t>
            </w:r>
            <w:r w:rsidR="00F207C1"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propisa/akta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EU (npr. Odluka, Uredba, Direktiva), broj, godinu, stavak i (ili) članak akta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koji je prekršen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68AD75BE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594B38CF" w14:textId="2406C4DC" w:rsidR="00620B6E" w:rsidRPr="00681F13" w:rsidRDefault="007F034F" w:rsidP="00D333F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</w:t>
            </w:r>
            <w:r w:rsidR="000B433D">
              <w:rPr>
                <w:rFonts w:ascii="Times New Roman" w:hAnsi="Times New Roman"/>
                <w:sz w:val="24"/>
                <w:szCs w:val="24"/>
                <w:lang w:eastAsia="hr-HR"/>
              </w:rPr>
              <w:t>7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Prekršene nacionalne odredbe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5CF3192" w14:textId="77777777" w:rsidR="00620B6E" w:rsidRPr="00681F13" w:rsidRDefault="00620B6E" w:rsidP="00F207C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Navesti vrstu prekršenog nacionalnog </w:t>
            </w:r>
            <w:r w:rsidR="00F207C1"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propisa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, broj, godinu, stavak i (ili) članak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koji je prekršen</w:t>
            </w: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1254F136" w14:textId="77777777" w:rsidTr="00D42A42">
        <w:trPr>
          <w:trHeight w:val="1257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18AF3B5" w14:textId="5412B51C" w:rsidR="00620B6E" w:rsidRPr="00681F13" w:rsidRDefault="007F034F" w:rsidP="00D333FC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</w:t>
            </w:r>
            <w:r w:rsidR="000B433D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Vrsta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B43FFF" w14:textId="77777777" w:rsidR="00620B6E" w:rsidRPr="00681F13" w:rsidRDefault="00620B6E" w:rsidP="00825C61">
            <w:pPr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pacing w:val="-4"/>
                <w:sz w:val="24"/>
                <w:szCs w:val="24"/>
                <w:lang w:eastAsia="hr-HR"/>
              </w:rPr>
              <w:t>Navesti jednu ili više vrsta utvrđenih nepravilnosti s popisa ili opisati vlastitu vrstu odabirom koda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:</w:t>
            </w:r>
          </w:p>
          <w:p w14:paraId="53D7EBD3" w14:textId="6812F820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 xml:space="preserve"> T11 zahtjev</w:t>
            </w:r>
          </w:p>
          <w:p w14:paraId="1D7EE102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T11 / 00 netočan ili nepotpun zahtjev za dodjelu sredstava</w:t>
            </w:r>
          </w:p>
          <w:p w14:paraId="278ADE0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T11 / 01 lažirani ili krivotvoreni zahtjev za dodjelu sredstava</w:t>
            </w:r>
          </w:p>
          <w:p w14:paraId="15744CEC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T11 / 02 proizvod, vrsta, projekt i / ili aktivnost neprihvatljivi za dodjelu sredstava</w:t>
            </w:r>
          </w:p>
          <w:p w14:paraId="29B7AAD0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T11 / 03 neodgovarajuća kumulacija sredstava</w:t>
            </w:r>
          </w:p>
          <w:p w14:paraId="0620C66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T11 / 04 više zahtjeva za isti proizvod, vrstu, projekt i / ili aktivnost</w:t>
            </w:r>
          </w:p>
          <w:p w14:paraId="32692DC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T11 / 99 ostalo</w:t>
            </w:r>
          </w:p>
          <w:p w14:paraId="080DC72C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T12 korisnik</w:t>
            </w:r>
          </w:p>
          <w:p w14:paraId="139E85FB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T12 / 00 netočan identitet gospodarskog subjekta  / korisnika</w:t>
            </w:r>
          </w:p>
          <w:p w14:paraId="43869AF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lastRenderedPageBreak/>
              <w:t>T12 / 01 nepostojeći gospodarski subjekt  /  korisnik</w:t>
            </w:r>
          </w:p>
          <w:p w14:paraId="1DF4CD9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T12 / 02 netočan opis gospodarstvenika</w:t>
            </w:r>
          </w:p>
          <w:p w14:paraId="537F6F4C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T12 / 03 gospodarski subjekt  / korisnik nije imao potrebnu kvalitetu</w:t>
            </w:r>
          </w:p>
          <w:p w14:paraId="5ADD89DA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T12 / 99 ostalo</w:t>
            </w:r>
          </w:p>
          <w:p w14:paraId="7FFE68D4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T13 računi i evidencije</w:t>
            </w:r>
          </w:p>
          <w:p w14:paraId="5E0877C9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00 nepotpuni računi</w:t>
            </w:r>
          </w:p>
          <w:p w14:paraId="05E8541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01 netočni računi</w:t>
            </w:r>
          </w:p>
          <w:p w14:paraId="3CEE58FC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02 krivotvoreni računi</w:t>
            </w:r>
          </w:p>
          <w:p w14:paraId="1ED88D99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03 računi nisu prikazani</w:t>
            </w:r>
          </w:p>
          <w:p w14:paraId="74BCD61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04 nepostojanje računa</w:t>
            </w:r>
          </w:p>
          <w:p w14:paraId="0B6DE9FB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05 pogreške izračuna</w:t>
            </w:r>
          </w:p>
          <w:p w14:paraId="12B5E98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06 prihodi nisu prijavljeni</w:t>
            </w:r>
          </w:p>
          <w:p w14:paraId="67CC7B0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T13 / 99 ostalo</w:t>
            </w:r>
          </w:p>
          <w:p w14:paraId="2A983148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T14 dokumenti dokazi</w:t>
            </w:r>
          </w:p>
          <w:p w14:paraId="2BA74F0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T14 / 00 dokumenti nedostaju i / ili nisu dani</w:t>
            </w:r>
          </w:p>
          <w:p w14:paraId="4C9092E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T14 / 01 nepotpuni dokumenti</w:t>
            </w:r>
          </w:p>
          <w:p w14:paraId="6160279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T14 / 02 netočni dokumenti</w:t>
            </w:r>
          </w:p>
          <w:p w14:paraId="40DCBCBA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T14 / 03 dokumenti dani prekasno</w:t>
            </w:r>
          </w:p>
          <w:p w14:paraId="6F410DB9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T14 / 04 dokumenti lažirani i / ili krivotvoreni</w:t>
            </w:r>
          </w:p>
          <w:p w14:paraId="2DB8707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T14 / 99 ostalo</w:t>
            </w:r>
          </w:p>
          <w:p w14:paraId="17BF3B42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T15 proizvod, vrste i / ili zemljište</w:t>
            </w:r>
          </w:p>
          <w:p w14:paraId="1E51050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00 više ili manje od ugovorenog</w:t>
            </w:r>
          </w:p>
          <w:p w14:paraId="253AC44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01 netočan sastav</w:t>
            </w:r>
          </w:p>
          <w:p w14:paraId="5A88660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02 netočno podrijetlo</w:t>
            </w:r>
          </w:p>
          <w:p w14:paraId="3DBF0803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03 netočna vrijednost</w:t>
            </w:r>
          </w:p>
          <w:p w14:paraId="64A34363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04 netočna količina</w:t>
            </w:r>
          </w:p>
          <w:p w14:paraId="665D272C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05 odstupanja u kvaliteti ili sadržaju</w:t>
            </w:r>
          </w:p>
          <w:p w14:paraId="1EB4A6A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06 količine izvan dopuštene granice, kvote, praga</w:t>
            </w:r>
          </w:p>
          <w:p w14:paraId="1369AB63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07 neovlaštena zamjena ili razmjena</w:t>
            </w:r>
          </w:p>
          <w:p w14:paraId="57E0A53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08 neovlašten dodatak ili smjesa</w:t>
            </w:r>
          </w:p>
          <w:p w14:paraId="602F2E4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09 neovlaštena uporaba</w:t>
            </w:r>
          </w:p>
          <w:p w14:paraId="0D0F714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10 krivotvorenje proizvoda</w:t>
            </w:r>
          </w:p>
          <w:p w14:paraId="247A551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11 nepropisno skladištenje ili rukovanje</w:t>
            </w:r>
          </w:p>
          <w:p w14:paraId="041F1D1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12 fiktivno korištenje ili obrada</w:t>
            </w:r>
          </w:p>
          <w:p w14:paraId="38ABA4A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13 netočna klasifikacija (uklj. netočan tarifni naslov)</w:t>
            </w:r>
          </w:p>
          <w:p w14:paraId="2BD804A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14 odstupanje od deklaracije i / ili izjava o fiktivnom proizvodu, vrsti i / ili zemljištu</w:t>
            </w:r>
          </w:p>
          <w:p w14:paraId="1936D1FC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T15 / 99 ostalo</w:t>
            </w:r>
          </w:p>
          <w:p w14:paraId="6722722F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T16 (ne) Aktivnost</w:t>
            </w:r>
          </w:p>
          <w:p w14:paraId="2F835369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00 aktivnost nije provedena</w:t>
            </w:r>
          </w:p>
          <w:p w14:paraId="5C23B0EB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01 aktivnost nije završena</w:t>
            </w:r>
          </w:p>
          <w:p w14:paraId="6047160A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02 operacija zabranjena tijekom provođenja mjere</w:t>
            </w:r>
          </w:p>
          <w:p w14:paraId="2225625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03 nepoštivanje rokova</w:t>
            </w:r>
          </w:p>
          <w:p w14:paraId="0F3A5BE1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04 nepravilan prestanak, prodaja, smanjenje i / ili nastavak</w:t>
            </w:r>
          </w:p>
          <w:p w14:paraId="4CE38A0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05 nepostojanje identifikacije, označavanja, itd</w:t>
            </w:r>
          </w:p>
          <w:p w14:paraId="5032E65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06 odbijanje kontrole, revizije, nadzora i sl.</w:t>
            </w:r>
          </w:p>
          <w:p w14:paraId="4BBC63F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lastRenderedPageBreak/>
              <w:t>T16 / 07 kontrola, revizija, nadzor i sl. se ne provodi u skladu s propisima, pravilima, planovima i sl.</w:t>
            </w:r>
          </w:p>
          <w:p w14:paraId="1554B17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08 kršenje pravila javne nabave</w:t>
            </w:r>
          </w:p>
          <w:p w14:paraId="6D28B97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09 kršenja vezana uz sufinanciranje</w:t>
            </w:r>
          </w:p>
          <w:p w14:paraId="4E5FA32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10 odbijanje vraćanja nepotrošenog ili nepropisno plaćenog iznosa</w:t>
            </w:r>
          </w:p>
          <w:p w14:paraId="4604084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T16 / 99 ostalo</w:t>
            </w:r>
          </w:p>
          <w:p w14:paraId="23BE9391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T17 kretanje</w:t>
            </w:r>
          </w:p>
          <w:p w14:paraId="612FDA3F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T17 / 00 nepravilnosti u vezi s krajnjim odredištem (promjena, ne dolazak u, itd)</w:t>
            </w:r>
          </w:p>
          <w:p w14:paraId="03D4820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T17 / 01 fiktivno kretanje</w:t>
            </w:r>
          </w:p>
          <w:p w14:paraId="0A8DD410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T17 / 99 ostalo</w:t>
            </w:r>
          </w:p>
          <w:p w14:paraId="7E0D2B26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T18 bankrot</w:t>
            </w:r>
          </w:p>
          <w:p w14:paraId="5A3D39A1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T18 / 00 pravne osobe - likvidacija</w:t>
            </w:r>
          </w:p>
          <w:p w14:paraId="79D8B3D2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T18 / 01 pravne osobe - reprogramiranje duga</w:t>
            </w:r>
          </w:p>
          <w:p w14:paraId="0977736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T18 / 02 fizičke osobe - plan otplate</w:t>
            </w:r>
          </w:p>
          <w:p w14:paraId="46940B6B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T18 / 03 fizičke osobe - plan otplate nije moguć</w:t>
            </w:r>
          </w:p>
          <w:p w14:paraId="3886D42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T18 / 99 ostalo</w:t>
            </w:r>
          </w:p>
          <w:p w14:paraId="27858C33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T19 etika i integritet</w:t>
            </w:r>
          </w:p>
          <w:p w14:paraId="49604490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00 sukob interesa</w:t>
            </w:r>
          </w:p>
          <w:p w14:paraId="0D331F7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01 mito - pasivno</w:t>
            </w:r>
          </w:p>
          <w:p w14:paraId="7D4A887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02 mito - aktivno</w:t>
            </w:r>
          </w:p>
          <w:p w14:paraId="2F63446F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03 korupcija</w:t>
            </w:r>
          </w:p>
          <w:p w14:paraId="0E45172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04 korupcija - pasivna</w:t>
            </w:r>
          </w:p>
          <w:p w14:paraId="0B957821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05 korupcija - aktivna</w:t>
            </w:r>
          </w:p>
          <w:p w14:paraId="002E3860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T19 / 99 ostale nepravilnosti vezano uz integritet i etiku</w:t>
            </w:r>
          </w:p>
          <w:p w14:paraId="083558B3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T40 Javna nabava</w:t>
            </w:r>
          </w:p>
          <w:p w14:paraId="019889BF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T40/01 Nedostatak objavljivanja obavijesti o dodjeli ugovora</w:t>
            </w:r>
          </w:p>
          <w:p w14:paraId="53E92783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T40/02 Umjetno cijepanje ugovora o radovima / uslugama / nabavi</w:t>
            </w:r>
          </w:p>
          <w:p w14:paraId="329DB3F2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T40/03 Nepoštivanje rokova za zaprimanje ponuda; ili - rokova za zaprimanje zahtjeva za sudjelovanje</w:t>
            </w:r>
          </w:p>
          <w:p w14:paraId="670D23C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T40/04 Nedostatno vrijeme za potencijalne ponuditelje / kandidate za dobivanje natječajne dokumentacije</w:t>
            </w:r>
          </w:p>
          <w:p w14:paraId="7E22737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T40/05 Nije objavljeno produljenje rokova za zaprimanje ponuda; ili - produljenja rokova za zaprimanje zahtjeva za sudjelovanjem</w:t>
            </w:r>
          </w:p>
          <w:p w14:paraId="0AB484D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T40/06 Nije opravdana primjena pregovaračkog postupka uz prethodnu objavu  obavijesti o dodjeli ugovora</w:t>
            </w:r>
          </w:p>
          <w:p w14:paraId="4A58A8BC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T40/07 Za dodjelu ugovora u području obrane i sigurnosti u okviru Direktive 2009/81 / EZ, neadekvatno opravdanje za propuštanje objave obavijesti o dodjeli ugovora</w:t>
            </w:r>
          </w:p>
          <w:p w14:paraId="464E077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T40/08 Propuštanje navođenja: kriterija odabira u  obavijesti o dodjeli ugovora; i / ili - kriterija dodjele (i njihovim ponderima) u  obavijesti o dodjeli ugovora ili u specifikacijama</w:t>
            </w:r>
          </w:p>
          <w:p w14:paraId="3A8151E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lastRenderedPageBreak/>
              <w:t>T40/09 Protupravni i / ili diskriminacijski kriteriji odabira i / ili kriterija dodjele navedeni u  obavijesti o dodjeli ugovora ili natječajnoj dokumentaciji</w:t>
            </w:r>
          </w:p>
          <w:p w14:paraId="0E2FAD1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T40/10 Kriteriji odabira nisu relevantni za predmet nabave i nisu razmjerni predmetu nabave</w:t>
            </w:r>
          </w:p>
          <w:p w14:paraId="560FF83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T40/11 Diskriminirajuće tehničke specifikacije</w:t>
            </w:r>
          </w:p>
          <w:p w14:paraId="3DB30E6F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T40/12 Nedovoljan opis predmeta nabave</w:t>
            </w:r>
          </w:p>
          <w:p w14:paraId="193D7CB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T40/13 Izmjena kriterija odabira nakon otvaranja ponuda, što rezultira neispravnim prihvaćanjem ponuditelja</w:t>
            </w:r>
          </w:p>
          <w:p w14:paraId="66E70BEA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T40/14 Izmjena kriterija za odabir nakon otvaranja ponuda, što rezultira neispravnim odbijanjem ponuditelja</w:t>
            </w:r>
          </w:p>
          <w:p w14:paraId="48C1051F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T40/15 Ocjenjivanje ponuditelja / kandidata na temelju protupravnih kriterija za odabir ili dodjelu</w:t>
            </w:r>
          </w:p>
          <w:p w14:paraId="2FEE4C6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T40/16 Nedostatak transparentnosti i / ili jednakog postupanja tijekom evaluacije</w:t>
            </w:r>
          </w:p>
          <w:p w14:paraId="63F6ED7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T40/17 Izmjena dokumentacije tijekom ocjenjivanja</w:t>
            </w:r>
          </w:p>
          <w:p w14:paraId="13005EA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T40/18 Pregovaranje tijekom postupka dodjele</w:t>
            </w:r>
          </w:p>
          <w:p w14:paraId="103BC22D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T40/19 Pregovarački postupak s prethodnom objavom  obavijesti o dodjeli ugovora s bitnim izmjenama uvjeta</w:t>
            </w:r>
          </w:p>
          <w:p w14:paraId="5F94F0D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T40/20 Odbijanje neuobičajeno niskih ponuda</w:t>
            </w:r>
          </w:p>
          <w:p w14:paraId="6FE866A8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T40/21 Sukob interesa</w:t>
            </w:r>
          </w:p>
          <w:p w14:paraId="41B7333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T40/22 Značajna izmjena ugovora sadržanih u  obavijesti o dodjeli ugovora ili natječajnoj specifikaciji</w:t>
            </w:r>
          </w:p>
          <w:p w14:paraId="2C34AC4F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T40/23 Smanjenje opsega ugovora</w:t>
            </w:r>
          </w:p>
          <w:p w14:paraId="7BC318A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 xml:space="preserve">T40/24 Dodjela dodatnih ugovora o radovima / uslugama / nabavi bez natječaja </w:t>
            </w:r>
          </w:p>
          <w:p w14:paraId="0696BE1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T40/25 Dodatni radovi ili usluge koji premašuju ograničenja propisana odgovarajućim odredbama</w:t>
            </w:r>
          </w:p>
          <w:p w14:paraId="6006CA4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T40 / 99 Ostalo</w:t>
            </w:r>
          </w:p>
          <w:p w14:paraId="7F8AC46E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T50 Državne potpore</w:t>
            </w:r>
          </w:p>
          <w:p w14:paraId="099EAA79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T50/01 Državna potpora nije prijavljena</w:t>
            </w:r>
          </w:p>
          <w:p w14:paraId="26FE96D6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T50/02 Primijenjen je pogrešni program potpore</w:t>
            </w:r>
          </w:p>
          <w:p w14:paraId="0FED5009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T50/03 Program potpore je pogrešno primijenjen</w:t>
            </w:r>
          </w:p>
          <w:p w14:paraId="1E2416E7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T50/04 Nisu ispunjeni zahtjevi vezani uz nadzor</w:t>
            </w:r>
          </w:p>
          <w:p w14:paraId="698F6725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T50/05 Nisu uzeta u obzir slična ulaganja na koje se mogu primijeniti program potpore</w:t>
            </w:r>
          </w:p>
          <w:p w14:paraId="3D74DE5E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T50/06 Nisu razmotreni prihodi  u primjenjivom programu potpore</w:t>
            </w:r>
          </w:p>
          <w:p w14:paraId="47839384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T50/07 Ne poštuje se princip poticajnog učinka potpore</w:t>
            </w:r>
          </w:p>
          <w:p w14:paraId="1DBF00DA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 xml:space="preserve">T50/08 Ne poštuje se intenzitet potpore </w:t>
            </w:r>
          </w:p>
          <w:p w14:paraId="43907320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T50/09 Prekoračen je prag potpore male vrijednosti (de minimis)</w:t>
            </w:r>
          </w:p>
          <w:p w14:paraId="179D7ADA" w14:textId="77777777" w:rsidR="00807329" w:rsidRPr="00F078F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T50/99 Ostalo</w:t>
            </w:r>
          </w:p>
          <w:p w14:paraId="0F7ECA13" w14:textId="77777777" w:rsidR="00807329" w:rsidRPr="008B70DC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b/>
                <w:u w:val="single"/>
                <w:lang w:eastAsia="hr-HR"/>
              </w:rPr>
            </w:pPr>
            <w:r w:rsidRPr="008B70DC">
              <w:rPr>
                <w:rFonts w:ascii="Times New Roman" w:hAnsi="Times New Roman"/>
                <w:b/>
                <w:u w:val="single"/>
                <w:lang w:eastAsia="hr-HR"/>
              </w:rPr>
              <w:t>T90 ostalo</w:t>
            </w:r>
          </w:p>
          <w:p w14:paraId="0E1AFC51" w14:textId="77777777" w:rsidR="00620B6E" w:rsidRDefault="00807329" w:rsidP="00807329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F078FE">
              <w:rPr>
                <w:rFonts w:ascii="Times New Roman" w:hAnsi="Times New Roman"/>
                <w:lang w:eastAsia="hr-HR"/>
              </w:rPr>
              <w:t>T90 / 99 ostale nepravilnosti (vidi modus operandi)</w:t>
            </w:r>
            <w:r w:rsidR="00D6327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  <w:p w14:paraId="3C4E78DB" w14:textId="77777777" w:rsidR="007A1E9F" w:rsidRDefault="007A1E9F" w:rsidP="00D6327D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  <w:p w14:paraId="297F43B3" w14:textId="77777777" w:rsidR="003F00BE" w:rsidRPr="00681F13" w:rsidRDefault="003F00BE" w:rsidP="00D6327D">
            <w:pPr>
              <w:spacing w:after="0" w:line="240" w:lineRule="auto"/>
              <w:ind w:left="200"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 xml:space="preserve">(Napomena! Prije odabira </w:t>
            </w:r>
            <w:r w:rsidR="00806917">
              <w:rPr>
                <w:rFonts w:ascii="Times New Roman" w:hAnsi="Times New Roman"/>
                <w:sz w:val="24"/>
                <w:szCs w:val="24"/>
                <w:lang w:eastAsia="hr-HR"/>
              </w:rPr>
              <w:t>vrste nepravilnosti provjeriti važeći šifarnik u IMS-u.)</w:t>
            </w:r>
          </w:p>
        </w:tc>
      </w:tr>
      <w:tr w:rsidR="00620B6E" w:rsidRPr="00681F13" w14:paraId="7F9BBC72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FB66D85" w14:textId="2156B6EE" w:rsidR="00620B6E" w:rsidRPr="00681F13" w:rsidRDefault="007F034F" w:rsidP="00063C99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 Razdoblje ili datum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947D67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Razdoblje tijekom kojeg je nepravilnost počinjena ili kad je nepravilnost počinjena </w:t>
            </w:r>
          </w:p>
        </w:tc>
      </w:tr>
      <w:tr w:rsidR="00620B6E" w:rsidRPr="00681F13" w14:paraId="2AB52C3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4994E23" w14:textId="16B496FD" w:rsidR="00620B6E" w:rsidRPr="00681F13" w:rsidRDefault="007F034F" w:rsidP="0006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.1. Od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75DC5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 datum kad je nepravilnost započela (ako ne znate točno datum početka nepravilnosti, možete navesti prvi dan mjeseca ili godine u kojoj je započela)</w:t>
            </w:r>
          </w:p>
        </w:tc>
      </w:tr>
      <w:tr w:rsidR="00620B6E" w:rsidRPr="00681F13" w14:paraId="09343FF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36E88DD" w14:textId="2911292D" w:rsidR="00620B6E" w:rsidRPr="00681F13" w:rsidRDefault="007F034F" w:rsidP="0006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.2. Do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28526F4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 datum kad je nepravilnost završila (ako ne znate točno datum završetka nepravilnosti, možete navesti zadnji dan mjeseca ili godine u kojoj je završila).</w:t>
            </w:r>
          </w:p>
        </w:tc>
      </w:tr>
      <w:tr w:rsidR="00620B6E" w:rsidRPr="00681F13" w14:paraId="6B82C247" w14:textId="77777777" w:rsidTr="00D42A42">
        <w:trPr>
          <w:trHeight w:val="51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4870B6D" w14:textId="12655ED8" w:rsidR="00620B6E" w:rsidRPr="00681F13" w:rsidRDefault="007F034F" w:rsidP="00063C99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.3. Datum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BCE1184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Ako se nepravilnost dogodila konkretnog datuma, upišite ga u ovo polje.</w:t>
            </w:r>
          </w:p>
        </w:tc>
      </w:tr>
      <w:tr w:rsidR="00735AE7" w:rsidRPr="00681F13" w14:paraId="6FD56B92" w14:textId="77777777" w:rsidTr="00D42A42">
        <w:trPr>
          <w:trHeight w:val="51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12640905" w14:textId="55F4407C" w:rsidR="00735AE7" w:rsidRPr="00681F13" w:rsidRDefault="00735AE7" w:rsidP="00E90F8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2.9.4. Fond, cilj, kategorija regije (ako je primjenjivo) naziv, broj i CCI OP-a, prioritet i operacija u pitanju.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BAB599" w14:textId="77777777" w:rsidR="00735AE7" w:rsidRPr="00681F13" w:rsidRDefault="00735AE7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</w:t>
            </w:r>
          </w:p>
        </w:tc>
      </w:tr>
      <w:tr w:rsidR="00735AE7" w:rsidRPr="00681F13" w14:paraId="632F8783" w14:textId="77777777" w:rsidTr="00D42A42">
        <w:trPr>
          <w:trHeight w:val="513"/>
        </w:trPr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698CBAB2" w14:textId="165AC1D8" w:rsidR="00735AE7" w:rsidRPr="00681F13" w:rsidRDefault="00735AE7" w:rsidP="00E90F8C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2.9.5. Regija ili područje u kojem se operacija provodi, identificirana navodeći odgovarajuće informacije kao npr. NUTS  regije.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E325D7" w14:textId="77777777" w:rsidR="00735AE7" w:rsidRPr="00681F13" w:rsidRDefault="00735AE7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Navesti </w:t>
            </w:r>
          </w:p>
        </w:tc>
      </w:tr>
      <w:tr w:rsidR="00620B6E" w:rsidRPr="00681F13" w14:paraId="730CF6B1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16EA7B3" w14:textId="77777777" w:rsidR="00620B6E" w:rsidRPr="00681F13" w:rsidRDefault="00620B6E" w:rsidP="003B0F5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3. DRUGE UKLJUČENE ZEMLJE ČLANICE ILI TREĆE ZEMLJE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7D244235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17D0851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5360E5DA" w14:textId="32CB4B6B" w:rsidR="00620B6E" w:rsidRPr="00681F13" w:rsidRDefault="00620B6E" w:rsidP="003B0F5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3.1. Zemlje članice EU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75EB848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odgovarajuće zemlje članice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na koje utječe nepravilnost i ukratko opisati njihovu vezu s utvrđenom nepravilnošću.</w:t>
            </w:r>
          </w:p>
        </w:tc>
      </w:tr>
      <w:tr w:rsidR="00620B6E" w:rsidRPr="00681F13" w14:paraId="645DC81D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358D87A9" w14:textId="77777777" w:rsidR="00620B6E" w:rsidRPr="00681F13" w:rsidRDefault="00620B6E" w:rsidP="003B0F58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3.2. Treće zemlje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9A37DD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odgovarajuće treće zemlje na koje utječe nepravilnost</w:t>
            </w:r>
          </w:p>
        </w:tc>
      </w:tr>
      <w:tr w:rsidR="00620B6E" w:rsidRPr="00681F13" w14:paraId="303826E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CD2EE87" w14:textId="77777777" w:rsidR="00620B6E" w:rsidRPr="00681F13" w:rsidRDefault="00620B6E" w:rsidP="00391DA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4. UKLJUČENE FIZIČKE ILI PRAVNE OSOBE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4315A3C2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7D29FC68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539A5E3" w14:textId="77777777" w:rsidR="00620B6E" w:rsidRPr="00681F13" w:rsidRDefault="00620B6E" w:rsidP="00E65A8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4.1. Fizičke osobe</w:t>
            </w:r>
          </w:p>
          <w:p w14:paraId="3F9DEF39" w14:textId="77777777" w:rsidR="00620B6E" w:rsidRPr="00681F13" w:rsidRDefault="00620B6E" w:rsidP="00E65A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EF3DFE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dokaze o identitetu fizičkih osoba uključenih u počinjenje nepravilnosti (ime, prezime, adresu, broj telefona i faksa, funkciju, datum rođenja, OIB).</w:t>
            </w:r>
          </w:p>
        </w:tc>
      </w:tr>
      <w:tr w:rsidR="00620B6E" w:rsidRPr="00681F13" w14:paraId="5CA58798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EC51864" w14:textId="77777777" w:rsidR="00620B6E" w:rsidRPr="00681F13" w:rsidRDefault="00620B6E" w:rsidP="00E65A8B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4.2. Pravne osobe</w:t>
            </w:r>
          </w:p>
          <w:p w14:paraId="7A45A2D8" w14:textId="77777777" w:rsidR="00620B6E" w:rsidRPr="00681F13" w:rsidRDefault="00620B6E" w:rsidP="00E65A8B">
            <w:pPr>
              <w:suppressAutoHyphens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40A923" w14:textId="2BC0FCB1" w:rsidR="00107EFA" w:rsidRPr="00681F13" w:rsidRDefault="00620B6E" w:rsidP="00C7482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Navesti dokaze o identitetu pravnih osoba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uključenih u počinjenje nepravilnosti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(naziv, tvrtku, pravni status, </w:t>
            </w:r>
            <w:r w:rsidR="000462EB">
              <w:rPr>
                <w:rFonts w:ascii="Times New Roman" w:hAnsi="Times New Roman"/>
                <w:sz w:val="24"/>
                <w:szCs w:val="24"/>
              </w:rPr>
              <w:t>sjedište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>, broj telefona i faksa, OIB).</w:t>
            </w:r>
          </w:p>
        </w:tc>
      </w:tr>
      <w:tr w:rsidR="00F92B77" w:rsidRPr="00681F13" w14:paraId="1F32EA6C" w14:textId="77777777" w:rsidTr="002D2C4F">
        <w:trPr>
          <w:trHeight w:val="690"/>
        </w:trPr>
        <w:tc>
          <w:tcPr>
            <w:tcW w:w="46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  <w:shd w:val="clear" w:color="auto" w:fill="FFFFFF"/>
          </w:tcPr>
          <w:p w14:paraId="554FB0ED" w14:textId="77777777" w:rsidR="00F92B77" w:rsidRPr="00681F13" w:rsidRDefault="00F92B77" w:rsidP="00AF562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5. FINANCIJSKI PODACI (u kunama)</w:t>
            </w:r>
          </w:p>
          <w:p w14:paraId="6D4364B6" w14:textId="77777777" w:rsidR="00F92B77" w:rsidRPr="00681F13" w:rsidRDefault="00F92B77" w:rsidP="00AF562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1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4D7B9A8B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Ukupno</w:t>
            </w:r>
          </w:p>
          <w:p w14:paraId="19E4AD3A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(Javni doprinos + privatni udio)</w:t>
            </w:r>
          </w:p>
        </w:tc>
        <w:tc>
          <w:tcPr>
            <w:tcW w:w="257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F88C00" w14:textId="77777777" w:rsidR="00F92B77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  <w:p w14:paraId="1ADE1F85" w14:textId="25AADBF5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BESPOVRATNA SREDSTVA     </w:t>
            </w:r>
          </w:p>
          <w:p w14:paraId="5B0F703B" w14:textId="24484C82" w:rsidR="00F92B77" w:rsidRPr="00681F13" w:rsidRDefault="00F92B77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128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7A51623E" w14:textId="50328E8A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Korisnikov  doprinos </w:t>
            </w:r>
          </w:p>
        </w:tc>
      </w:tr>
      <w:tr w:rsidR="00F92B77" w:rsidRPr="00681F13" w14:paraId="3B827538" w14:textId="77777777" w:rsidTr="002D2C4F">
        <w:trPr>
          <w:trHeight w:val="690"/>
        </w:trPr>
        <w:tc>
          <w:tcPr>
            <w:tcW w:w="4625" w:type="dxa"/>
            <w:vMerge/>
            <w:tcBorders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05148D2D" w14:textId="77777777" w:rsidR="00F92B77" w:rsidRPr="00681F13" w:rsidRDefault="00F92B77" w:rsidP="00AF562D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</w:tc>
        <w:tc>
          <w:tcPr>
            <w:tcW w:w="1156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0078BB16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  <w:tc>
          <w:tcPr>
            <w:tcW w:w="13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ADF643" w14:textId="1093F5D0" w:rsidR="00F92B77" w:rsidRPr="002D2C4F" w:rsidDel="00F92B77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</w:pPr>
            <w:r w:rsidRPr="002D2C4F">
              <w:rPr>
                <w:rFonts w:ascii="Times New Roman" w:hAnsi="Times New Roman"/>
                <w:bCs/>
                <w:sz w:val="24"/>
                <w:szCs w:val="24"/>
                <w:lang w:eastAsia="hr-HR"/>
              </w:rPr>
              <w:t>Doprinos EU</w:t>
            </w:r>
          </w:p>
        </w:tc>
        <w:tc>
          <w:tcPr>
            <w:tcW w:w="12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CD35D1" w14:textId="30745684" w:rsidR="00F92B77" w:rsidDel="00F92B77" w:rsidRDefault="00F92B77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Doprinos RH</w:t>
            </w:r>
          </w:p>
        </w:tc>
        <w:tc>
          <w:tcPr>
            <w:tcW w:w="128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996713A" w14:textId="77777777" w:rsidR="00F92B77" w:rsidRPr="00681F13" w:rsidRDefault="00F92B77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20B6E" w:rsidRPr="00681F13" w14:paraId="5B193CAF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F57FB7C" w14:textId="103A7219" w:rsidR="00620B6E" w:rsidRPr="00681F13" w:rsidRDefault="0090731A" w:rsidP="00996A3F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lastRenderedPageBreak/>
              <w:t>5.1.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Nepravilan iznos na koji utječe nepravilnost</w:t>
            </w:r>
            <w:r w:rsidR="00996A3F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(nepravilan iznos)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14:paraId="6D57C479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Navesti ukupne izdatke na koje </w:t>
            </w:r>
            <w:r w:rsidRPr="00681F13">
              <w:rPr>
                <w:rFonts w:ascii="Times New Roman" w:hAnsi="Times New Roman"/>
                <w:b/>
                <w:sz w:val="24"/>
                <w:szCs w:val="24"/>
              </w:rPr>
              <w:t xml:space="preserve">utječe 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nepravilnost prema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gore navedenim izvorima financiranja.</w:t>
            </w:r>
          </w:p>
        </w:tc>
      </w:tr>
      <w:tr w:rsidR="00620B6E" w:rsidRPr="00681F13" w14:paraId="65B2D78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7239E09C" w14:textId="77777777" w:rsidR="00620B6E" w:rsidRPr="00681F13" w:rsidRDefault="0090731A" w:rsidP="0090731A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5.2. 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Potencijalni financijski učinak nepravilnosti</w:t>
            </w:r>
            <w:r w:rsidR="00996A3F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(nepravilan iznos još nije ovjeren)</w:t>
            </w:r>
          </w:p>
        </w:tc>
        <w:tc>
          <w:tcPr>
            <w:tcW w:w="501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B51D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nepravilne izdatke (prema gore navedenim izvorima financiranja) koji nisu bili uključeni u izjavu o izdacima koju je TO podnijelo EK-u (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NEOVJERENI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iznosi)</w:t>
            </w:r>
          </w:p>
        </w:tc>
      </w:tr>
      <w:tr w:rsidR="00620B6E" w:rsidRPr="00681F13" w14:paraId="6E0A710B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19022BA9" w14:textId="77777777" w:rsidR="00620B6E" w:rsidRPr="00681F13" w:rsidRDefault="0032439C" w:rsidP="00996A3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5.3</w:t>
            </w:r>
            <w:r w:rsidR="0090731A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996A3F">
              <w:rPr>
                <w:rFonts w:ascii="Times New Roman" w:hAnsi="Times New Roman"/>
                <w:sz w:val="24"/>
                <w:szCs w:val="24"/>
                <w:lang w:eastAsia="hr-HR"/>
              </w:rPr>
              <w:t>Stvarni f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inancijski učinak nepravilnosti (nepravilni iznos već je ovjeren)</w:t>
            </w:r>
          </w:p>
        </w:tc>
        <w:tc>
          <w:tcPr>
            <w:tcW w:w="501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1A3ED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nepravilne izdatke (prema gore navedenim izvorima financiranja) koji su bili uključeni u izjavu o izdacima koju je TO podnijelo EK-u (</w:t>
            </w: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OVJEREN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I iznosi)</w:t>
            </w:r>
          </w:p>
        </w:tc>
      </w:tr>
      <w:tr w:rsidR="00620B6E" w:rsidRPr="00681F13" w14:paraId="1A360B76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19FAAD0" w14:textId="77777777" w:rsidR="00620B6E" w:rsidRPr="00681F13" w:rsidRDefault="00735AE7" w:rsidP="00996A3F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. MJERE </w:t>
            </w:r>
            <w:r w:rsidR="00996A3F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UKLANJANJA NEGATIVNIH UČINAKA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68A2B1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</w:p>
        </w:tc>
      </w:tr>
      <w:tr w:rsidR="00620B6E" w:rsidRPr="00681F13" w14:paraId="2790559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26627952" w14:textId="77777777" w:rsidR="00620B6E" w:rsidRPr="00681F13" w:rsidRDefault="00735AE7" w:rsidP="0060504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highlight w:val="yellow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.1. Mjere predložene PT-u 1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D51542" w14:textId="77777777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Dati prijedloge PT-u 1 za jednu ili više mjera (ako je primjenjivo):</w:t>
            </w:r>
          </w:p>
          <w:p w14:paraId="4B9D4FFB" w14:textId="77777777" w:rsidR="00D87E1F" w:rsidRPr="00681F13" w:rsidRDefault="00D87E1F" w:rsidP="00825C61">
            <w:pPr>
              <w:numPr>
                <w:ilvl w:val="0"/>
                <w:numId w:val="1"/>
              </w:numPr>
              <w:spacing w:after="0" w:line="240" w:lineRule="auto"/>
              <w:ind w:right="1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lt-LT"/>
              </w:rPr>
              <w:t>u skladu s ovim ZNP-om</w:t>
            </w:r>
          </w:p>
          <w:p w14:paraId="6D122334" w14:textId="77777777" w:rsidR="00D87E1F" w:rsidRPr="00681F13" w:rsidRDefault="00D87E1F" w:rsidP="00D87E1F">
            <w:pPr>
              <w:spacing w:after="0" w:line="240" w:lineRule="auto"/>
              <w:ind w:left="60" w:right="136"/>
              <w:contextualSpacing/>
              <w:jc w:val="both"/>
              <w:rPr>
                <w:rFonts w:ascii="Times New Roman" w:hAnsi="Times New Roman"/>
                <w:sz w:val="24"/>
                <w:szCs w:val="24"/>
                <w:lang w:eastAsia="lt-LT"/>
              </w:rPr>
            </w:pPr>
          </w:p>
          <w:p w14:paraId="6BDD659E" w14:textId="77777777" w:rsidR="00620B6E" w:rsidRPr="00681F13" w:rsidRDefault="00D87E1F" w:rsidP="00D87E1F">
            <w:pPr>
              <w:spacing w:after="0" w:line="240" w:lineRule="auto"/>
              <w:ind w:right="136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lt-LT"/>
              </w:rPr>
              <w:t>Navesti mjere koje je poduzeo PT 2.</w:t>
            </w:r>
          </w:p>
        </w:tc>
      </w:tr>
      <w:tr w:rsidR="00620B6E" w:rsidRPr="00681F13" w14:paraId="7956362A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7311B36" w14:textId="2D37DCEF" w:rsidR="00620B6E" w:rsidRPr="00681F13" w:rsidRDefault="00735AE7" w:rsidP="0060504A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.2. Mjere koje poduzima PT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DC2C7" w14:textId="53238AF9" w:rsidR="00620B6E" w:rsidRPr="00681F13" w:rsidRDefault="00620B6E" w:rsidP="00825C61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druge mjere koje poduzima PT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2 pri praćenju nepravilnosti</w:t>
            </w:r>
          </w:p>
        </w:tc>
      </w:tr>
      <w:tr w:rsidR="00620B6E" w:rsidRPr="00681F13" w14:paraId="4A7795BB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7B68DC58" w14:textId="77777777" w:rsidR="00620B6E" w:rsidRPr="00681F13" w:rsidRDefault="00735AE7" w:rsidP="00616656">
            <w:pPr>
              <w:suppressAutoHyphens/>
              <w:snapToGrid w:val="0"/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6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.3. Druga tijela obaviještena o nepravilnosti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0DA1C2D" w14:textId="77777777" w:rsidR="007C6672" w:rsidRPr="00681F13" w:rsidRDefault="00620B6E" w:rsidP="00E90F8C">
            <w:pPr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nacionalna tijela (</w:t>
            </w:r>
            <w:r w:rsidR="00D6327D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tijela SUK-a odnosno UT, TO, PT 1 i PT-a 2 TR i SSNIP;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AFCOS mreža ili druga tijela) koje je potrebno obavijestiti o utvrđenoj nepravilnosti.</w:t>
            </w:r>
            <w:r w:rsidR="00E90F8C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</w:p>
        </w:tc>
      </w:tr>
      <w:tr w:rsidR="00620B6E" w:rsidRPr="00681F13" w14:paraId="3C01F284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68B8074A" w14:textId="77777777" w:rsidR="00620B6E" w:rsidRPr="00681F13" w:rsidRDefault="00735AE7" w:rsidP="00616656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7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. INFORMACIJE O POVRATIMA</w:t>
            </w:r>
            <w:r w:rsidR="00996A3F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(u kunama)</w:t>
            </w:r>
          </w:p>
        </w:tc>
        <w:tc>
          <w:tcPr>
            <w:tcW w:w="16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6FC9DD0" w14:textId="77777777" w:rsidR="00620B6E" w:rsidRPr="00681F13" w:rsidRDefault="00620B6E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Ukupno </w:t>
            </w:r>
          </w:p>
        </w:tc>
        <w:tc>
          <w:tcPr>
            <w:tcW w:w="156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43F1F09" w14:textId="77777777" w:rsidR="00620B6E" w:rsidRPr="00681F13" w:rsidRDefault="00996A3F" w:rsidP="00825C61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Doprinos EU-a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</w:p>
        </w:tc>
        <w:tc>
          <w:tcPr>
            <w:tcW w:w="183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967A75" w14:textId="77777777" w:rsidR="00996A3F" w:rsidRDefault="00620B6E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ar-SA"/>
              </w:rPr>
              <w:t xml:space="preserve">Doprinos </w:t>
            </w:r>
          </w:p>
          <w:p w14:paraId="6BE49A57" w14:textId="77777777" w:rsidR="00620B6E" w:rsidRPr="00681F13" w:rsidRDefault="00996A3F" w:rsidP="00996A3F">
            <w:pPr>
              <w:suppressAutoHyphens/>
              <w:snapToGrid w:val="0"/>
              <w:spacing w:after="0" w:line="240" w:lineRule="auto"/>
              <w:ind w:right="136"/>
              <w:jc w:val="center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/>
                <w:sz w:val="24"/>
                <w:szCs w:val="24"/>
                <w:lang w:eastAsia="ar-SA"/>
              </w:rPr>
              <w:t>RH-a</w:t>
            </w:r>
          </w:p>
        </w:tc>
      </w:tr>
      <w:tr w:rsidR="00620B6E" w:rsidRPr="00681F13" w14:paraId="01072A25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</w:tcPr>
          <w:p w14:paraId="31C195FC" w14:textId="71541390" w:rsidR="00620B6E" w:rsidRPr="00681F13" w:rsidRDefault="00735AE7" w:rsidP="00DA0BD8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7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.1. Iznosi za povrat </w:t>
            </w:r>
            <w:r w:rsidR="00F92B77">
              <w:rPr>
                <w:rFonts w:ascii="Times New Roman" w:hAnsi="Times New Roman"/>
                <w:sz w:val="24"/>
                <w:szCs w:val="24"/>
                <w:lang w:eastAsia="hr-HR"/>
              </w:rPr>
              <w:t>(bespovratna sredstva)</w:t>
            </w:r>
          </w:p>
          <w:p w14:paraId="6AA3AAD4" w14:textId="77777777" w:rsidR="00F85CF9" w:rsidRPr="00681F13" w:rsidRDefault="00C74821" w:rsidP="00C74821">
            <w:pPr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Napomena: i</w:t>
            </w:r>
            <w:r w:rsidR="00F85CF9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znosi u kunama se 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preračunavaju</w:t>
            </w:r>
            <w:r w:rsidR="00F85CF9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u eure, u skladu s člankom 133. Uredbe (EU) 1303/2013</w:t>
            </w:r>
          </w:p>
        </w:tc>
        <w:tc>
          <w:tcPr>
            <w:tcW w:w="5014" w:type="dxa"/>
            <w:gridSpan w:val="6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3DD6F65" w14:textId="77777777" w:rsidR="00620B6E" w:rsidRPr="00681F13" w:rsidRDefault="00620B6E" w:rsidP="00F207C1">
            <w:pPr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Ako je nepravilni iznos već plaćen, navesti ukupni iznos </w:t>
            </w:r>
            <w:r w:rsidR="00F207C1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u odnosu na kojega je potrebno izvršiti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povrat od korisnika</w:t>
            </w:r>
            <w:r w:rsidR="00F207C1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,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u skladu s gore navedenim izvorima financiranja </w:t>
            </w:r>
          </w:p>
        </w:tc>
      </w:tr>
      <w:tr w:rsidR="00620B6E" w:rsidRPr="00681F13" w14:paraId="10CBBF95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0AE8869E" w14:textId="77777777" w:rsidR="00620B6E" w:rsidRPr="00681F13" w:rsidRDefault="00735AE7" w:rsidP="00DA0BD8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. PRIMIJENJENE SANKCIJE/KAZNE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14:paraId="1580FF38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</w:p>
        </w:tc>
      </w:tr>
      <w:tr w:rsidR="00620B6E" w:rsidRPr="00681F13" w14:paraId="0B3508DE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738163BF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.1. Priroda primijenjenih sankcija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DC89D0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jednu ili više mogućnosti sankcija s popisa u nastavku:</w:t>
            </w:r>
          </w:p>
          <w:p w14:paraId="389FD6B1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Administrativne</w:t>
            </w:r>
          </w:p>
          <w:p w14:paraId="66FC0DE1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Administrativne i kaznene</w:t>
            </w:r>
          </w:p>
          <w:p w14:paraId="6EAD58D0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Kaznene</w:t>
            </w:r>
          </w:p>
        </w:tc>
      </w:tr>
      <w:tr w:rsidR="00620B6E" w:rsidRPr="00681F13" w14:paraId="1BCD4EF0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0CA1F64E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.2. Nametnute sankcije koje su rezultat povrede 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propisa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72D704" w14:textId="77777777" w:rsidR="00620B6E" w:rsidRPr="00681F13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 jedno od sljedećeg:</w:t>
            </w:r>
          </w:p>
          <w:p w14:paraId="1CAF95A3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Propisi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EU </w:t>
            </w:r>
          </w:p>
          <w:p w14:paraId="170C583F" w14:textId="77777777" w:rsidR="00620B6E" w:rsidRPr="00681F13" w:rsidRDefault="00620B6E" w:rsidP="00825C61">
            <w:pPr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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Nacionalni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propisi i propisi EU</w:t>
            </w:r>
          </w:p>
          <w:p w14:paraId="4FA22E0B" w14:textId="77777777" w:rsidR="00620B6E" w:rsidRPr="00681F13" w:rsidRDefault="00620B6E" w:rsidP="00D87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136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 xml:space="preserve">Nacionalni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propisi</w:t>
            </w:r>
          </w:p>
        </w:tc>
      </w:tr>
      <w:tr w:rsidR="00620B6E" w:rsidRPr="00681F13" w14:paraId="6B7D6CB4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2E5A1917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.3.</w:t>
            </w:r>
            <w:r w:rsidR="00620B6E"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EU propis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1816145" w14:textId="3E933666" w:rsidR="00620B6E" w:rsidRPr="00681F13" w:rsidRDefault="00620B6E" w:rsidP="00D87E1F">
            <w:pPr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</w:rPr>
              <w:t>Navesti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 xml:space="preserve"> propis i</w:t>
            </w:r>
            <w:r w:rsidRPr="00681F13">
              <w:rPr>
                <w:rFonts w:ascii="Times New Roman" w:hAnsi="Times New Roman"/>
                <w:sz w:val="24"/>
                <w:szCs w:val="24"/>
              </w:rPr>
              <w:t xml:space="preserve"> odredbu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 xml:space="preserve"> koj</w:t>
            </w:r>
            <w:r w:rsidR="000462EB">
              <w:rPr>
                <w:rFonts w:ascii="Times New Roman" w:hAnsi="Times New Roman"/>
                <w:sz w:val="24"/>
                <w:szCs w:val="24"/>
              </w:rPr>
              <w:t>a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 xml:space="preserve"> propisuje sankcije</w:t>
            </w:r>
          </w:p>
        </w:tc>
      </w:tr>
      <w:tr w:rsidR="00620B6E" w:rsidRPr="00681F13" w14:paraId="2EF65DA1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2F2F2"/>
          </w:tcPr>
          <w:p w14:paraId="45C03106" w14:textId="77777777" w:rsidR="00620B6E" w:rsidRPr="00681F13" w:rsidRDefault="00735AE7" w:rsidP="00D87E1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8</w:t>
            </w:r>
            <w:r w:rsidR="00620B6E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.4. </w:t>
            </w:r>
            <w:r w:rsidR="00D87E1F" w:rsidRPr="00681F13">
              <w:rPr>
                <w:rFonts w:ascii="Times New Roman" w:hAnsi="Times New Roman"/>
                <w:sz w:val="24"/>
                <w:szCs w:val="24"/>
              </w:rPr>
              <w:t>Nacionalni propis</w:t>
            </w:r>
            <w:r w:rsidR="00620B6E" w:rsidRPr="00681F13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2581ED" w14:textId="309AC0F8" w:rsidR="00620B6E" w:rsidRPr="00681F13" w:rsidRDefault="00620B6E" w:rsidP="00D87E1F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hr-HR"/>
              </w:rPr>
            </w:pP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Navesti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nacionalni</w:t>
            </w:r>
            <w:r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>propis i odredbu koj</w:t>
            </w:r>
            <w:r w:rsidR="000462EB">
              <w:rPr>
                <w:rFonts w:ascii="Times New Roman" w:hAnsi="Times New Roman"/>
                <w:sz w:val="24"/>
                <w:szCs w:val="24"/>
                <w:lang w:eastAsia="hr-HR"/>
              </w:rPr>
              <w:t>a</w:t>
            </w:r>
            <w:r w:rsidR="00D87E1F" w:rsidRPr="00681F13">
              <w:rPr>
                <w:rFonts w:ascii="Times New Roman" w:hAnsi="Times New Roman"/>
                <w:sz w:val="24"/>
                <w:szCs w:val="24"/>
                <w:lang w:eastAsia="hr-HR"/>
              </w:rPr>
              <w:t xml:space="preserve"> propisuje sankcije</w:t>
            </w:r>
          </w:p>
        </w:tc>
      </w:tr>
      <w:tr w:rsidR="00620B6E" w:rsidRPr="00854034" w14:paraId="4669C3F3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3C72BF22" w14:textId="77777777" w:rsidR="00620B6E" w:rsidRPr="00854034" w:rsidRDefault="00735AE7" w:rsidP="00863154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ar-SA"/>
              </w:rPr>
            </w:pPr>
            <w:r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9</w:t>
            </w:r>
            <w:r w:rsidR="00620B6E"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. DODATNE </w:t>
            </w:r>
            <w:r w:rsidR="00D87E1F"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</w:t>
            </w:r>
            <w:r w:rsidR="00620B6E" w:rsidRPr="00854034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INFORMACIJE, NAPOMENE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1B466F" w14:textId="77777777" w:rsidR="00620B6E" w:rsidRPr="00854034" w:rsidRDefault="00620B6E" w:rsidP="00825C61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ind w:right="136"/>
              <w:jc w:val="both"/>
              <w:rPr>
                <w:rFonts w:ascii="Times New Roman" w:hAnsi="Times New Roman"/>
                <w:sz w:val="24"/>
                <w:szCs w:val="24"/>
                <w:lang w:eastAsia="ar-SA"/>
              </w:rPr>
            </w:pPr>
            <w:r w:rsidRPr="00854034">
              <w:rPr>
                <w:rFonts w:ascii="Times New Roman" w:hAnsi="Times New Roman"/>
                <w:sz w:val="24"/>
                <w:szCs w:val="24"/>
              </w:rPr>
              <w:t>Dati eventualne dodatne napomene, komentare, preporuke, prijedloge vezane uz slučaj nepravilnosti.</w:t>
            </w:r>
          </w:p>
        </w:tc>
      </w:tr>
      <w:tr w:rsidR="00310A8A" w:rsidRPr="00854034" w14:paraId="4FD652CC" w14:textId="77777777" w:rsidTr="00D42A42">
        <w:tc>
          <w:tcPr>
            <w:tcW w:w="46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14:paraId="60CCEE2C" w14:textId="6BF13846" w:rsidR="008C18C3" w:rsidRDefault="008C18C3" w:rsidP="0031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lastRenderedPageBreak/>
              <w:t>P</w:t>
            </w:r>
            <w:r w:rsidR="00310A8A" w:rsidRP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roduljen </w:t>
            </w:r>
            <w:r w:rsidR="008B4EB9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je </w:t>
            </w:r>
            <w:r w:rsidR="00310A8A" w:rsidRP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>rok za d</w:t>
            </w:r>
            <w:r w:rsid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onošenje ove odluke       </w:t>
            </w:r>
          </w:p>
          <w:p w14:paraId="345167CC" w14:textId="77777777" w:rsidR="008C18C3" w:rsidRDefault="008C18C3" w:rsidP="0031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hr-HR"/>
              </w:rPr>
            </w:pPr>
          </w:p>
          <w:p w14:paraId="628F20E2" w14:textId="30D9F324" w:rsidR="00310A8A" w:rsidRPr="00653A6D" w:rsidRDefault="00310A8A" w:rsidP="00310A8A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uppressAutoHyphens/>
              <w:snapToGrid w:val="0"/>
              <w:spacing w:after="0" w:line="240" w:lineRule="auto"/>
              <w:rPr>
                <w:rFonts w:eastAsia="MS Mincho"/>
                <w:sz w:val="24"/>
                <w:szCs w:val="24"/>
                <w:lang w:eastAsia="lt-LT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DA</w:t>
            </w:r>
            <w:r w:rsidRPr="00310A8A">
              <w:rPr>
                <w:rFonts w:ascii="Times New Roman" w:hAnsi="Times New Roman"/>
                <w:b/>
                <w:sz w:val="24"/>
                <w:szCs w:val="24"/>
                <w:lang w:eastAsia="hr-HR"/>
              </w:rPr>
              <w:t xml:space="preserve">      NE</w:t>
            </w:r>
          </w:p>
        </w:tc>
        <w:tc>
          <w:tcPr>
            <w:tcW w:w="50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52516F" w14:textId="77777777" w:rsidR="00310A8A" w:rsidRDefault="00310A8A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310A8A">
              <w:rPr>
                <w:rFonts w:ascii="Times New Roman" w:hAnsi="Times New Roman"/>
                <w:sz w:val="24"/>
                <w:szCs w:val="24"/>
              </w:rPr>
              <w:t xml:space="preserve">Datum do kojeg je odluku </w:t>
            </w:r>
            <w:r w:rsidR="008C18C3">
              <w:rPr>
                <w:rFonts w:ascii="Times New Roman" w:hAnsi="Times New Roman"/>
                <w:sz w:val="24"/>
                <w:szCs w:val="24"/>
              </w:rPr>
              <w:t xml:space="preserve">bilo </w:t>
            </w:r>
            <w:r w:rsidRPr="00310A8A">
              <w:rPr>
                <w:rFonts w:ascii="Times New Roman" w:hAnsi="Times New Roman"/>
                <w:sz w:val="24"/>
                <w:szCs w:val="24"/>
              </w:rPr>
              <w:t>potreb</w:t>
            </w:r>
            <w:r w:rsidR="008C18C3">
              <w:rPr>
                <w:rFonts w:ascii="Times New Roman" w:hAnsi="Times New Roman"/>
                <w:sz w:val="24"/>
                <w:szCs w:val="24"/>
              </w:rPr>
              <w:t>n</w:t>
            </w:r>
            <w:r w:rsidRPr="00310A8A">
              <w:rPr>
                <w:rFonts w:ascii="Times New Roman" w:hAnsi="Times New Roman"/>
                <w:sz w:val="24"/>
                <w:szCs w:val="24"/>
              </w:rPr>
              <w:t>o donijeti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1FE5C3E4" w14:textId="42D420C9" w:rsidR="008C18C3" w:rsidRDefault="008C18C3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EFA8D18" w14:textId="6E8142AE" w:rsidR="008B4EB9" w:rsidRDefault="008B4EB9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Datum do kojeg se produljuje rok za donošenje odluke o nepravilnosti:</w:t>
            </w:r>
          </w:p>
          <w:p w14:paraId="6FE7F356" w14:textId="77777777" w:rsidR="008B4EB9" w:rsidRDefault="008B4EB9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71A62208" w14:textId="34EB50C2" w:rsidR="008C18C3" w:rsidRDefault="008C18C3" w:rsidP="00310A8A">
            <w:pPr>
              <w:tabs>
                <w:tab w:val="left" w:pos="240"/>
              </w:tabs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Razlozi produljenja roka za donošenje odluke o nepravilnosti koji upućuju na posebno zahtjevni slučaj</w:t>
            </w:r>
            <w:r w:rsidR="008B4EB9">
              <w:rPr>
                <w:rFonts w:ascii="Times New Roman" w:hAnsi="Times New Roman"/>
                <w:sz w:val="24"/>
                <w:szCs w:val="24"/>
              </w:rPr>
              <w:t xml:space="preserve"> te radnje poduzete tijekom postupka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5BC5D702" w14:textId="4C98C39B" w:rsidR="008C18C3" w:rsidRPr="00653A6D" w:rsidRDefault="008C18C3" w:rsidP="00310A8A">
            <w:pPr>
              <w:tabs>
                <w:tab w:val="left" w:pos="240"/>
              </w:tabs>
              <w:jc w:val="both"/>
              <w:rPr>
                <w:rFonts w:eastAsia="MS Mincho"/>
                <w:sz w:val="24"/>
                <w:szCs w:val="24"/>
                <w:lang w:eastAsia="lt-LT"/>
              </w:rPr>
            </w:pPr>
          </w:p>
        </w:tc>
      </w:tr>
    </w:tbl>
    <w:p w14:paraId="6C334B9A" w14:textId="77777777" w:rsidR="00620B6E" w:rsidRPr="00854034" w:rsidRDefault="00620B6E" w:rsidP="00E65A8B">
      <w:pPr>
        <w:spacing w:after="0" w:line="240" w:lineRule="auto"/>
        <w:rPr>
          <w:rFonts w:ascii="Times New Roman" w:hAnsi="Times New Roman"/>
          <w:sz w:val="24"/>
          <w:szCs w:val="24"/>
          <w:lang w:eastAsia="hr-HR"/>
        </w:rPr>
      </w:pPr>
    </w:p>
    <w:p w14:paraId="06E83794" w14:textId="77777777" w:rsidR="00620B6E" w:rsidRPr="00854034" w:rsidRDefault="00620B6E" w:rsidP="00E65A8B">
      <w:pPr>
        <w:spacing w:after="0" w:line="240" w:lineRule="auto"/>
        <w:ind w:right="122"/>
        <w:rPr>
          <w:rFonts w:ascii="Times New Roman" w:hAnsi="Times New Roman"/>
          <w:bCs/>
          <w:color w:val="000000"/>
          <w:sz w:val="24"/>
          <w:szCs w:val="24"/>
          <w:lang w:eastAsia="hr-HR"/>
        </w:rPr>
      </w:pPr>
    </w:p>
    <w:tbl>
      <w:tblPr>
        <w:tblW w:w="0" w:type="auto"/>
        <w:tblLook w:val="00A0" w:firstRow="1" w:lastRow="0" w:firstColumn="1" w:lastColumn="0" w:noHBand="0" w:noVBand="0"/>
      </w:tblPr>
      <w:tblGrid>
        <w:gridCol w:w="3673"/>
        <w:gridCol w:w="2126"/>
        <w:gridCol w:w="3260"/>
      </w:tblGrid>
      <w:tr w:rsidR="00620B6E" w:rsidRPr="00854034" w14:paraId="414B3322" w14:textId="77777777" w:rsidTr="00D42A42"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15A8DA25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</w:tcPr>
          <w:p w14:paraId="09C58BD2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7A91AA9D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</w:tr>
      <w:tr w:rsidR="00620B6E" w:rsidRPr="00854034" w14:paraId="61C4DA9C" w14:textId="77777777" w:rsidTr="00D42A42">
        <w:tc>
          <w:tcPr>
            <w:tcW w:w="3673" w:type="dxa"/>
            <w:tcBorders>
              <w:bottom w:val="single" w:sz="4" w:space="0" w:color="auto"/>
            </w:tcBorders>
            <w:vAlign w:val="bottom"/>
          </w:tcPr>
          <w:p w14:paraId="7CF580FB" w14:textId="77777777" w:rsidR="00B37EA9" w:rsidRPr="00854034" w:rsidRDefault="00B37EA9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Osoba</w:t>
            </w:r>
            <w:r w:rsidR="00AD4F43"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 za </w:t>
            </w: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 nepravilnosti </w:t>
            </w:r>
          </w:p>
          <w:p w14:paraId="71621105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(</w:t>
            </w:r>
            <w:r w:rsidR="00631600"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funkcija </w:t>
            </w: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i ime)</w:t>
            </w:r>
          </w:p>
          <w:p w14:paraId="5A33E620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  <w:p w14:paraId="14103677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  <w:p w14:paraId="4D0628BB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2126" w:type="dxa"/>
          </w:tcPr>
          <w:p w14:paraId="00555BF0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60" w:type="dxa"/>
            <w:tcBorders>
              <w:bottom w:val="single" w:sz="4" w:space="0" w:color="auto"/>
            </w:tcBorders>
          </w:tcPr>
          <w:p w14:paraId="65B4BD08" w14:textId="77777777" w:rsidR="00620B6E" w:rsidRPr="00854034" w:rsidRDefault="00620B6E" w:rsidP="00F56CCF">
            <w:pPr>
              <w:spacing w:after="0" w:line="240" w:lineRule="auto"/>
              <w:ind w:right="12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Potpis, datum</w:t>
            </w:r>
          </w:p>
        </w:tc>
      </w:tr>
      <w:tr w:rsidR="00620B6E" w:rsidRPr="00681F13" w14:paraId="4CC6991C" w14:textId="77777777" w:rsidTr="00D42A42">
        <w:tc>
          <w:tcPr>
            <w:tcW w:w="3673" w:type="dxa"/>
            <w:tcBorders>
              <w:top w:val="single" w:sz="4" w:space="0" w:color="auto"/>
            </w:tcBorders>
          </w:tcPr>
          <w:p w14:paraId="580380D1" w14:textId="77777777" w:rsidR="00620B6E" w:rsidRPr="00854034" w:rsidRDefault="00AD4F43" w:rsidP="007C1691">
            <w:pPr>
              <w:spacing w:after="0" w:line="240" w:lineRule="auto"/>
              <w:ind w:left="-61" w:right="125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 xml:space="preserve">Čelnik </w:t>
            </w:r>
            <w:r w:rsidR="007C1691"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Posredničkog tijela razine 2</w:t>
            </w:r>
          </w:p>
        </w:tc>
        <w:tc>
          <w:tcPr>
            <w:tcW w:w="2126" w:type="dxa"/>
          </w:tcPr>
          <w:p w14:paraId="1971AC38" w14:textId="77777777" w:rsidR="00620B6E" w:rsidRPr="00854034" w:rsidRDefault="00620B6E" w:rsidP="00E65A8B">
            <w:pPr>
              <w:spacing w:after="0" w:line="240" w:lineRule="auto"/>
              <w:ind w:right="122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</w:p>
        </w:tc>
        <w:tc>
          <w:tcPr>
            <w:tcW w:w="3260" w:type="dxa"/>
            <w:tcBorders>
              <w:top w:val="single" w:sz="4" w:space="0" w:color="auto"/>
            </w:tcBorders>
          </w:tcPr>
          <w:p w14:paraId="38E88F1A" w14:textId="77777777" w:rsidR="00620B6E" w:rsidRPr="00681F13" w:rsidRDefault="00620B6E" w:rsidP="00F56CCF">
            <w:pPr>
              <w:spacing w:after="0" w:line="240" w:lineRule="auto"/>
              <w:ind w:right="122"/>
              <w:jc w:val="center"/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</w:pPr>
            <w:r w:rsidRPr="00854034">
              <w:rPr>
                <w:rFonts w:ascii="Times New Roman" w:hAnsi="Times New Roman"/>
                <w:bCs/>
                <w:color w:val="000000"/>
                <w:sz w:val="24"/>
                <w:szCs w:val="24"/>
                <w:lang w:eastAsia="hr-HR"/>
              </w:rPr>
              <w:t>(Potpis, datum)</w:t>
            </w:r>
          </w:p>
        </w:tc>
      </w:tr>
    </w:tbl>
    <w:p w14:paraId="79EC97A4" w14:textId="77777777" w:rsidR="00620B6E" w:rsidRPr="00681F13" w:rsidRDefault="00620B6E" w:rsidP="00DD76A6">
      <w:pPr>
        <w:rPr>
          <w:rFonts w:ascii="Times New Roman" w:hAnsi="Times New Roman"/>
          <w:sz w:val="24"/>
          <w:szCs w:val="24"/>
        </w:rPr>
      </w:pPr>
    </w:p>
    <w:sectPr w:rsidR="00620B6E" w:rsidRPr="00681F13" w:rsidSect="00E65A8B">
      <w:footerReference w:type="default" r:id="rId8"/>
      <w:endnotePr>
        <w:numFmt w:val="decimal"/>
        <w:numStart w:val="0"/>
      </w:endnotePr>
      <w:pgSz w:w="11907" w:h="16840"/>
      <w:pgMar w:top="1276" w:right="1440" w:bottom="2563" w:left="1259" w:header="720" w:footer="720" w:gutter="0"/>
      <w:cols w:space="720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E1A498C" w14:textId="77777777" w:rsidR="00C863C2" w:rsidRDefault="00C863C2" w:rsidP="00E65A8B">
      <w:pPr>
        <w:spacing w:after="0" w:line="240" w:lineRule="auto"/>
      </w:pPr>
      <w:r>
        <w:separator/>
      </w:r>
    </w:p>
  </w:endnote>
  <w:endnote w:type="continuationSeparator" w:id="0">
    <w:p w14:paraId="0A13A080" w14:textId="77777777" w:rsidR="00C863C2" w:rsidRDefault="00C863C2" w:rsidP="00E65A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F9311E" w14:textId="77777777" w:rsidR="00512303" w:rsidRPr="00512303" w:rsidRDefault="00512303">
    <w:pPr>
      <w:pStyle w:val="Footer"/>
      <w:jc w:val="center"/>
      <w:rPr>
        <w:rFonts w:ascii="Times New Roman" w:hAnsi="Times New Roman"/>
        <w:sz w:val="18"/>
        <w:szCs w:val="18"/>
      </w:rPr>
    </w:pPr>
    <w:r w:rsidRPr="00512303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1208449979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512303">
          <w:rPr>
            <w:rFonts w:ascii="Times New Roman" w:hAnsi="Times New Roman"/>
            <w:sz w:val="18"/>
            <w:szCs w:val="18"/>
          </w:rPr>
          <w:fldChar w:fldCharType="begin"/>
        </w:r>
        <w:r w:rsidRPr="0051230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512303">
          <w:rPr>
            <w:rFonts w:ascii="Times New Roman" w:hAnsi="Times New Roman"/>
            <w:sz w:val="18"/>
            <w:szCs w:val="18"/>
          </w:rPr>
          <w:fldChar w:fldCharType="separate"/>
        </w:r>
        <w:r w:rsidR="00E72BEC">
          <w:rPr>
            <w:rFonts w:ascii="Times New Roman" w:hAnsi="Times New Roman"/>
            <w:noProof/>
            <w:sz w:val="18"/>
            <w:szCs w:val="18"/>
          </w:rPr>
          <w:t>10</w:t>
        </w:r>
        <w:r w:rsidRPr="00512303">
          <w:rPr>
            <w:rFonts w:ascii="Times New Roman" w:hAnsi="Times New Roman"/>
            <w:noProof/>
            <w:sz w:val="18"/>
            <w:szCs w:val="18"/>
          </w:rPr>
          <w:fldChar w:fldCharType="end"/>
        </w:r>
      </w:sdtContent>
    </w:sdt>
  </w:p>
  <w:p w14:paraId="3BDE2CB5" w14:textId="77777777" w:rsidR="007F034F" w:rsidRDefault="007F034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3146DCC" w14:textId="77777777" w:rsidR="00C863C2" w:rsidRDefault="00C863C2" w:rsidP="00E65A8B">
      <w:pPr>
        <w:spacing w:after="0" w:line="240" w:lineRule="auto"/>
      </w:pPr>
      <w:r>
        <w:separator/>
      </w:r>
    </w:p>
  </w:footnote>
  <w:footnote w:type="continuationSeparator" w:id="0">
    <w:p w14:paraId="0FF99D54" w14:textId="77777777" w:rsidR="00C863C2" w:rsidRDefault="00C863C2" w:rsidP="00E65A8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7D8736A"/>
    <w:multiLevelType w:val="hybridMultilevel"/>
    <w:tmpl w:val="27600224"/>
    <w:lvl w:ilvl="0" w:tplc="F2A68A1E">
      <w:start w:val="9"/>
      <w:numFmt w:val="bullet"/>
      <w:lvlText w:val="-"/>
      <w:lvlJc w:val="left"/>
      <w:pPr>
        <w:ind w:left="420" w:hanging="360"/>
      </w:pPr>
      <w:rPr>
        <w:rFonts w:ascii="Arial" w:eastAsia="Times New Roman" w:hAnsi="Arial" w:hint="default"/>
      </w:rPr>
    </w:lvl>
    <w:lvl w:ilvl="1" w:tplc="0427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hint="default"/>
      </w:rPr>
    </w:lvl>
    <w:lvl w:ilvl="2" w:tplc="0427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hint="default"/>
      </w:rPr>
    </w:lvl>
    <w:lvl w:ilvl="5" w:tplc="0427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hint="default"/>
      </w:rPr>
    </w:lvl>
    <w:lvl w:ilvl="8" w:tplc="0427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abstractNum w:abstractNumId="1" w15:restartNumberingAfterBreak="0">
    <w:nsid w:val="4F4264A3"/>
    <w:multiLevelType w:val="hybridMultilevel"/>
    <w:tmpl w:val="59A0C12C"/>
    <w:lvl w:ilvl="0" w:tplc="757449C4">
      <w:numFmt w:val="bullet"/>
      <w:lvlText w:val="-"/>
      <w:lvlJc w:val="left"/>
      <w:pPr>
        <w:ind w:left="720" w:hanging="360"/>
      </w:pPr>
      <w:rPr>
        <w:rFonts w:ascii="Times New Roman" w:eastAsia="MS Mincho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76B37B8"/>
    <w:multiLevelType w:val="hybridMultilevel"/>
    <w:tmpl w:val="DF848218"/>
    <w:lvl w:ilvl="0" w:tplc="B0AA157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</w:footnotePr>
  <w:endnotePr>
    <w:numFmt w:val="decimal"/>
    <w:numStart w:val="0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65A8B"/>
    <w:rsid w:val="00032CE5"/>
    <w:rsid w:val="000462EB"/>
    <w:rsid w:val="00050397"/>
    <w:rsid w:val="00056716"/>
    <w:rsid w:val="00063C99"/>
    <w:rsid w:val="00064EAF"/>
    <w:rsid w:val="000750DE"/>
    <w:rsid w:val="000837B9"/>
    <w:rsid w:val="000A322E"/>
    <w:rsid w:val="000B433D"/>
    <w:rsid w:val="000B693B"/>
    <w:rsid w:val="000E3DC0"/>
    <w:rsid w:val="00107EFA"/>
    <w:rsid w:val="00115E6E"/>
    <w:rsid w:val="00120D2C"/>
    <w:rsid w:val="00140C68"/>
    <w:rsid w:val="00175A7D"/>
    <w:rsid w:val="00176F77"/>
    <w:rsid w:val="001B065B"/>
    <w:rsid w:val="001C3DFD"/>
    <w:rsid w:val="001C5E00"/>
    <w:rsid w:val="001D7965"/>
    <w:rsid w:val="001F20C6"/>
    <w:rsid w:val="001F2C15"/>
    <w:rsid w:val="002040AC"/>
    <w:rsid w:val="002068F0"/>
    <w:rsid w:val="002165CD"/>
    <w:rsid w:val="00217EFA"/>
    <w:rsid w:val="00234C1D"/>
    <w:rsid w:val="00236E35"/>
    <w:rsid w:val="00241B19"/>
    <w:rsid w:val="00247CA3"/>
    <w:rsid w:val="0026146A"/>
    <w:rsid w:val="00275689"/>
    <w:rsid w:val="002A0053"/>
    <w:rsid w:val="002B7953"/>
    <w:rsid w:val="002C1923"/>
    <w:rsid w:val="002C47E7"/>
    <w:rsid w:val="002D2C4F"/>
    <w:rsid w:val="002D518A"/>
    <w:rsid w:val="002D7998"/>
    <w:rsid w:val="002E71E2"/>
    <w:rsid w:val="00310A8A"/>
    <w:rsid w:val="00312F29"/>
    <w:rsid w:val="00317278"/>
    <w:rsid w:val="0032439C"/>
    <w:rsid w:val="00327608"/>
    <w:rsid w:val="00345685"/>
    <w:rsid w:val="00352DBB"/>
    <w:rsid w:val="00370BEF"/>
    <w:rsid w:val="0038696A"/>
    <w:rsid w:val="00391DA8"/>
    <w:rsid w:val="003A0106"/>
    <w:rsid w:val="003A23C4"/>
    <w:rsid w:val="003B0F58"/>
    <w:rsid w:val="003C18E3"/>
    <w:rsid w:val="003F00BE"/>
    <w:rsid w:val="004250A2"/>
    <w:rsid w:val="00425D9B"/>
    <w:rsid w:val="00456FAF"/>
    <w:rsid w:val="004638BC"/>
    <w:rsid w:val="00482954"/>
    <w:rsid w:val="004831B1"/>
    <w:rsid w:val="00483478"/>
    <w:rsid w:val="004C0F54"/>
    <w:rsid w:val="004D54DB"/>
    <w:rsid w:val="005018E7"/>
    <w:rsid w:val="0050396E"/>
    <w:rsid w:val="00505F55"/>
    <w:rsid w:val="00510B7A"/>
    <w:rsid w:val="00512303"/>
    <w:rsid w:val="00552DB8"/>
    <w:rsid w:val="00574015"/>
    <w:rsid w:val="0058248C"/>
    <w:rsid w:val="005911AD"/>
    <w:rsid w:val="005A3C19"/>
    <w:rsid w:val="005B75F5"/>
    <w:rsid w:val="005D0E79"/>
    <w:rsid w:val="005D34A0"/>
    <w:rsid w:val="005D5493"/>
    <w:rsid w:val="005F4B12"/>
    <w:rsid w:val="00604AE3"/>
    <w:rsid w:val="00604D90"/>
    <w:rsid w:val="0060504A"/>
    <w:rsid w:val="00613905"/>
    <w:rsid w:val="0061480A"/>
    <w:rsid w:val="00616656"/>
    <w:rsid w:val="00620B6E"/>
    <w:rsid w:val="00627D54"/>
    <w:rsid w:val="00631600"/>
    <w:rsid w:val="00631D05"/>
    <w:rsid w:val="00637C99"/>
    <w:rsid w:val="00644090"/>
    <w:rsid w:val="006505B0"/>
    <w:rsid w:val="006534B6"/>
    <w:rsid w:val="006650FE"/>
    <w:rsid w:val="00670819"/>
    <w:rsid w:val="00681F13"/>
    <w:rsid w:val="006C6FF6"/>
    <w:rsid w:val="006D1719"/>
    <w:rsid w:val="006F4D25"/>
    <w:rsid w:val="00704B2D"/>
    <w:rsid w:val="00722992"/>
    <w:rsid w:val="0073038E"/>
    <w:rsid w:val="007315C6"/>
    <w:rsid w:val="00735AE7"/>
    <w:rsid w:val="00744588"/>
    <w:rsid w:val="00795ACF"/>
    <w:rsid w:val="007A1256"/>
    <w:rsid w:val="007A1E9F"/>
    <w:rsid w:val="007A23C8"/>
    <w:rsid w:val="007B5D71"/>
    <w:rsid w:val="007C1691"/>
    <w:rsid w:val="007C6672"/>
    <w:rsid w:val="007D06A0"/>
    <w:rsid w:val="007E0993"/>
    <w:rsid w:val="007F034F"/>
    <w:rsid w:val="007F5F7C"/>
    <w:rsid w:val="00806917"/>
    <w:rsid w:val="00806B76"/>
    <w:rsid w:val="00807329"/>
    <w:rsid w:val="00825C61"/>
    <w:rsid w:val="008348B9"/>
    <w:rsid w:val="00854034"/>
    <w:rsid w:val="008569C4"/>
    <w:rsid w:val="00863154"/>
    <w:rsid w:val="0086344C"/>
    <w:rsid w:val="00882B45"/>
    <w:rsid w:val="00896FD5"/>
    <w:rsid w:val="008B4EB9"/>
    <w:rsid w:val="008C18C3"/>
    <w:rsid w:val="008E581D"/>
    <w:rsid w:val="00905B8F"/>
    <w:rsid w:val="0090731A"/>
    <w:rsid w:val="0094400F"/>
    <w:rsid w:val="00953458"/>
    <w:rsid w:val="00964852"/>
    <w:rsid w:val="00970797"/>
    <w:rsid w:val="0097727D"/>
    <w:rsid w:val="00983276"/>
    <w:rsid w:val="00983CD8"/>
    <w:rsid w:val="00991BF8"/>
    <w:rsid w:val="00996A3F"/>
    <w:rsid w:val="009A00E6"/>
    <w:rsid w:val="009B042F"/>
    <w:rsid w:val="009B0520"/>
    <w:rsid w:val="009B798A"/>
    <w:rsid w:val="009D6718"/>
    <w:rsid w:val="009D770B"/>
    <w:rsid w:val="009F03F9"/>
    <w:rsid w:val="009F7024"/>
    <w:rsid w:val="00A13271"/>
    <w:rsid w:val="00A30437"/>
    <w:rsid w:val="00A47EA7"/>
    <w:rsid w:val="00A63D57"/>
    <w:rsid w:val="00A823D5"/>
    <w:rsid w:val="00A854CA"/>
    <w:rsid w:val="00A91A13"/>
    <w:rsid w:val="00A964E8"/>
    <w:rsid w:val="00AA0C32"/>
    <w:rsid w:val="00AB2CB7"/>
    <w:rsid w:val="00AD4F43"/>
    <w:rsid w:val="00AF0588"/>
    <w:rsid w:val="00AF562D"/>
    <w:rsid w:val="00AF768C"/>
    <w:rsid w:val="00B05130"/>
    <w:rsid w:val="00B05BD3"/>
    <w:rsid w:val="00B22621"/>
    <w:rsid w:val="00B227C6"/>
    <w:rsid w:val="00B34A4E"/>
    <w:rsid w:val="00B37EA9"/>
    <w:rsid w:val="00B44043"/>
    <w:rsid w:val="00B44721"/>
    <w:rsid w:val="00B50798"/>
    <w:rsid w:val="00B52FB3"/>
    <w:rsid w:val="00B72531"/>
    <w:rsid w:val="00B72A7D"/>
    <w:rsid w:val="00B73E45"/>
    <w:rsid w:val="00BA6427"/>
    <w:rsid w:val="00BE3B79"/>
    <w:rsid w:val="00BE551E"/>
    <w:rsid w:val="00BE5AC5"/>
    <w:rsid w:val="00BF4F05"/>
    <w:rsid w:val="00C10310"/>
    <w:rsid w:val="00C2074B"/>
    <w:rsid w:val="00C2749F"/>
    <w:rsid w:val="00C3077E"/>
    <w:rsid w:val="00C36540"/>
    <w:rsid w:val="00C4659D"/>
    <w:rsid w:val="00C510B1"/>
    <w:rsid w:val="00C53D7C"/>
    <w:rsid w:val="00C74821"/>
    <w:rsid w:val="00C83A48"/>
    <w:rsid w:val="00C863C2"/>
    <w:rsid w:val="00CD3599"/>
    <w:rsid w:val="00CE51E8"/>
    <w:rsid w:val="00CE583E"/>
    <w:rsid w:val="00CF552F"/>
    <w:rsid w:val="00D25BFA"/>
    <w:rsid w:val="00D333FC"/>
    <w:rsid w:val="00D42A42"/>
    <w:rsid w:val="00D45469"/>
    <w:rsid w:val="00D50855"/>
    <w:rsid w:val="00D6327D"/>
    <w:rsid w:val="00D80A9D"/>
    <w:rsid w:val="00D87E1F"/>
    <w:rsid w:val="00D91A21"/>
    <w:rsid w:val="00DA0BD8"/>
    <w:rsid w:val="00DA6090"/>
    <w:rsid w:val="00DA6473"/>
    <w:rsid w:val="00DB1FE3"/>
    <w:rsid w:val="00DC1709"/>
    <w:rsid w:val="00DD76A6"/>
    <w:rsid w:val="00E04131"/>
    <w:rsid w:val="00E06F4B"/>
    <w:rsid w:val="00E15377"/>
    <w:rsid w:val="00E2320F"/>
    <w:rsid w:val="00E35D11"/>
    <w:rsid w:val="00E57827"/>
    <w:rsid w:val="00E65A8B"/>
    <w:rsid w:val="00E668CB"/>
    <w:rsid w:val="00E72BEC"/>
    <w:rsid w:val="00E75FF9"/>
    <w:rsid w:val="00E90F8C"/>
    <w:rsid w:val="00EB5B15"/>
    <w:rsid w:val="00EB6C29"/>
    <w:rsid w:val="00ED1C43"/>
    <w:rsid w:val="00ED706E"/>
    <w:rsid w:val="00F207C1"/>
    <w:rsid w:val="00F34CC0"/>
    <w:rsid w:val="00F44C00"/>
    <w:rsid w:val="00F46C7F"/>
    <w:rsid w:val="00F52F01"/>
    <w:rsid w:val="00F561BA"/>
    <w:rsid w:val="00F56CCF"/>
    <w:rsid w:val="00F85CF9"/>
    <w:rsid w:val="00F92B77"/>
    <w:rsid w:val="00F97542"/>
    <w:rsid w:val="00FA6523"/>
    <w:rsid w:val="00FE02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86E6651"/>
  <w15:docId w15:val="{A1B1840B-F768-4699-96FB-9B669FAEC6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44090"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rsid w:val="00E65A8B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link w:val="FootnoteText"/>
    <w:uiPriority w:val="99"/>
    <w:semiHidden/>
    <w:locked/>
    <w:rsid w:val="00E65A8B"/>
    <w:rPr>
      <w:rFonts w:cs="Times New Roman"/>
      <w:sz w:val="20"/>
      <w:szCs w:val="20"/>
    </w:rPr>
  </w:style>
  <w:style w:type="character" w:styleId="FootnoteReference">
    <w:name w:val="footnote reference"/>
    <w:uiPriority w:val="99"/>
    <w:semiHidden/>
    <w:rsid w:val="00E65A8B"/>
    <w:rPr>
      <w:rFonts w:cs="Times New Roman"/>
      <w:vertAlign w:val="superscript"/>
    </w:rPr>
  </w:style>
  <w:style w:type="paragraph" w:styleId="Header">
    <w:name w:val="header"/>
    <w:basedOn w:val="Normal"/>
    <w:link w:val="HeaderChar"/>
    <w:uiPriority w:val="99"/>
    <w:rsid w:val="0006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064EAF"/>
    <w:rPr>
      <w:rFonts w:cs="Times New Roman"/>
    </w:rPr>
  </w:style>
  <w:style w:type="paragraph" w:styleId="Footer">
    <w:name w:val="footer"/>
    <w:basedOn w:val="Normal"/>
    <w:link w:val="FooterChar"/>
    <w:uiPriority w:val="99"/>
    <w:rsid w:val="00064EA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064EAF"/>
    <w:rPr>
      <w:rFonts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9B798A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250A2"/>
    <w:rPr>
      <w:rFonts w:ascii="Times New Roman" w:hAnsi="Times New Roman" w:cs="Times New Roman"/>
      <w:sz w:val="2"/>
      <w:lang w:eastAsia="en-US"/>
    </w:rPr>
  </w:style>
  <w:style w:type="paragraph" w:styleId="ListParagraph">
    <w:name w:val="List Paragraph"/>
    <w:basedOn w:val="Normal"/>
    <w:uiPriority w:val="34"/>
    <w:qFormat/>
    <w:rsid w:val="003F00B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2D799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D799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D7998"/>
    <w:rPr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D799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D7998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756218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A94667-A04C-401A-8103-C602FABF6B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9</Pages>
  <Words>2248</Words>
  <Characters>12814</Characters>
  <Application>Microsoft Office Word</Application>
  <DocSecurity>0</DocSecurity>
  <Lines>106</Lines>
  <Paragraphs>30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Ministarstvo financija</vt:lpstr>
      <vt:lpstr>Ministarstvo financija</vt:lpstr>
    </vt:vector>
  </TitlesOfParts>
  <Company/>
  <LinksUpToDate>false</LinksUpToDate>
  <CharactersWithSpaces>15032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Ministarstvo financija</dc:title>
  <dc:creator>Morana Trojak</dc:creator>
  <cp:lastModifiedBy>Ivana Fekete</cp:lastModifiedBy>
  <cp:revision>11</cp:revision>
  <dcterms:created xsi:type="dcterms:W3CDTF">2020-09-30T07:17:00Z</dcterms:created>
  <dcterms:modified xsi:type="dcterms:W3CDTF">2020-12-03T14:16:00Z</dcterms:modified>
</cp:coreProperties>
</file>